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57" w:rsidRPr="00C95064" w:rsidRDefault="00DE4F57" w:rsidP="00495E78">
      <w:pPr>
        <w:pBdr>
          <w:top w:val="single" w:sz="4" w:space="1" w:color="auto"/>
          <w:left w:val="single" w:sz="4" w:space="4" w:color="auto"/>
          <w:bottom w:val="single" w:sz="4" w:space="1" w:color="auto"/>
          <w:right w:val="single" w:sz="4" w:space="4" w:color="auto"/>
        </w:pBdr>
        <w:jc w:val="center"/>
        <w:rPr>
          <w:rFonts w:asciiTheme="majorHAnsi" w:hAnsiTheme="majorHAnsi" w:cs="Times New Roman"/>
          <w:b/>
          <w:lang w:val="fr-FR"/>
        </w:rPr>
      </w:pPr>
      <w:r w:rsidRPr="00C95064">
        <w:rPr>
          <w:rFonts w:asciiTheme="majorHAnsi" w:hAnsiTheme="majorHAnsi" w:cs="Times New Roman"/>
          <w:b/>
          <w:lang w:val="fr-FR"/>
        </w:rPr>
        <w:t>Compte rendu</w:t>
      </w:r>
      <w:r w:rsidR="00495E78" w:rsidRPr="00C95064">
        <w:rPr>
          <w:rFonts w:asciiTheme="majorHAnsi" w:hAnsiTheme="majorHAnsi" w:cs="Times New Roman"/>
          <w:b/>
          <w:lang w:val="fr-FR"/>
        </w:rPr>
        <w:t xml:space="preserve"> interne </w:t>
      </w:r>
      <w:r w:rsidRPr="00C95064">
        <w:rPr>
          <w:rFonts w:asciiTheme="majorHAnsi" w:hAnsiTheme="majorHAnsi" w:cs="Times New Roman"/>
          <w:b/>
          <w:lang w:val="fr-FR"/>
        </w:rPr>
        <w:t>du COPIL</w:t>
      </w:r>
      <w:r w:rsidR="00495E78" w:rsidRPr="00C95064">
        <w:rPr>
          <w:rFonts w:asciiTheme="majorHAnsi" w:hAnsiTheme="majorHAnsi" w:cs="Times New Roman"/>
          <w:b/>
          <w:lang w:val="fr-FR"/>
        </w:rPr>
        <w:t xml:space="preserve"> SSR</w:t>
      </w:r>
      <w:r w:rsidRPr="00C95064">
        <w:rPr>
          <w:rFonts w:asciiTheme="majorHAnsi" w:hAnsiTheme="majorHAnsi" w:cs="Times New Roman"/>
          <w:b/>
          <w:lang w:val="fr-FR"/>
        </w:rPr>
        <w:t xml:space="preserve"> du </w:t>
      </w:r>
      <w:r w:rsidR="00EF26D3">
        <w:rPr>
          <w:rFonts w:asciiTheme="majorHAnsi" w:hAnsiTheme="majorHAnsi" w:cs="Times New Roman"/>
          <w:b/>
          <w:lang w:val="fr-FR"/>
        </w:rPr>
        <w:t>12</w:t>
      </w:r>
      <w:r w:rsidR="00C95064">
        <w:rPr>
          <w:rFonts w:asciiTheme="majorHAnsi" w:hAnsiTheme="majorHAnsi" w:cs="Times New Roman"/>
          <w:b/>
          <w:lang w:val="fr-FR"/>
        </w:rPr>
        <w:t xml:space="preserve"> </w:t>
      </w:r>
      <w:r w:rsidR="00EF26D3">
        <w:rPr>
          <w:rFonts w:asciiTheme="majorHAnsi" w:hAnsiTheme="majorHAnsi" w:cs="Times New Roman"/>
          <w:b/>
          <w:lang w:val="fr-FR"/>
        </w:rPr>
        <w:t>décembre</w:t>
      </w:r>
      <w:r w:rsidR="00C95064">
        <w:rPr>
          <w:rFonts w:asciiTheme="majorHAnsi" w:hAnsiTheme="majorHAnsi" w:cs="Times New Roman"/>
          <w:b/>
          <w:lang w:val="fr-FR"/>
        </w:rPr>
        <w:t xml:space="preserve"> 2016</w:t>
      </w:r>
    </w:p>
    <w:p w:rsidR="00DE4F57" w:rsidRPr="00C95064" w:rsidRDefault="00495E78">
      <w:pPr>
        <w:rPr>
          <w:rFonts w:asciiTheme="majorHAnsi" w:hAnsiTheme="majorHAnsi" w:cs="Times New Roman"/>
          <w:lang w:val="fr-FR"/>
        </w:rPr>
      </w:pPr>
      <w:r w:rsidRPr="00C95064">
        <w:rPr>
          <w:rFonts w:asciiTheme="majorHAnsi" w:hAnsiTheme="majorHAnsi" w:cs="Times New Roman"/>
          <w:u w:val="single"/>
          <w:lang w:val="fr-FR"/>
        </w:rPr>
        <w:t>Délégation FHP-SSR</w:t>
      </w:r>
      <w:r w:rsidRPr="00C95064">
        <w:rPr>
          <w:rFonts w:asciiTheme="majorHAnsi" w:hAnsiTheme="majorHAnsi" w:cs="Times New Roman"/>
          <w:lang w:val="fr-FR"/>
        </w:rPr>
        <w:t> </w:t>
      </w:r>
      <w:r w:rsidRPr="00C95064">
        <w:rPr>
          <w:rFonts w:asciiTheme="majorHAnsi" w:hAnsiTheme="majorHAnsi" w:cs="Times New Roman"/>
          <w:i/>
          <w:lang w:val="fr-FR"/>
        </w:rPr>
        <w:t>:</w:t>
      </w:r>
      <w:r w:rsidR="00C95064" w:rsidRPr="00C95064">
        <w:rPr>
          <w:rFonts w:asciiTheme="majorHAnsi" w:hAnsiTheme="majorHAnsi" w:cs="Times New Roman"/>
          <w:i/>
          <w:lang w:val="fr-FR"/>
        </w:rPr>
        <w:t xml:space="preserve"> Paul GOBIN, Frédéric SANGUIGNOL</w:t>
      </w:r>
      <w:r w:rsidRPr="00C95064">
        <w:rPr>
          <w:rFonts w:asciiTheme="majorHAnsi" w:hAnsiTheme="majorHAnsi" w:cs="Times New Roman"/>
          <w:i/>
          <w:lang w:val="fr-FR"/>
        </w:rPr>
        <w:t xml:space="preserve"> et Eric NOEL</w:t>
      </w:r>
    </w:p>
    <w:p w:rsidR="00495E78" w:rsidRPr="00C95064" w:rsidRDefault="00495E78" w:rsidP="005B6A89">
      <w:pPr>
        <w:jc w:val="both"/>
        <w:rPr>
          <w:rFonts w:asciiTheme="majorHAnsi" w:hAnsiTheme="majorHAnsi" w:cs="Times New Roman"/>
          <w:u w:val="single"/>
          <w:lang w:val="fr-FR"/>
        </w:rPr>
      </w:pPr>
      <w:r w:rsidRPr="00C95064">
        <w:rPr>
          <w:rFonts w:asciiTheme="majorHAnsi" w:hAnsiTheme="majorHAnsi" w:cs="Times New Roman"/>
          <w:u w:val="single"/>
          <w:lang w:val="fr-FR"/>
        </w:rPr>
        <w:t xml:space="preserve">L’ordre du jour </w:t>
      </w:r>
      <w:r w:rsidR="005B6A89" w:rsidRPr="00C95064">
        <w:rPr>
          <w:rFonts w:asciiTheme="majorHAnsi" w:hAnsiTheme="majorHAnsi" w:cs="Times New Roman"/>
          <w:u w:val="single"/>
          <w:lang w:val="fr-FR"/>
        </w:rPr>
        <w:t xml:space="preserve">était </w:t>
      </w:r>
      <w:r w:rsidRPr="00C95064">
        <w:rPr>
          <w:rFonts w:asciiTheme="majorHAnsi" w:hAnsiTheme="majorHAnsi" w:cs="Times New Roman"/>
          <w:u w:val="single"/>
          <w:lang w:val="fr-FR"/>
        </w:rPr>
        <w:t>le suivant :</w:t>
      </w:r>
    </w:p>
    <w:p w:rsidR="00EF26D3" w:rsidRDefault="00EF26D3" w:rsidP="00EF26D3">
      <w:pPr>
        <w:pStyle w:val="Paragraphedeliste"/>
        <w:numPr>
          <w:ilvl w:val="0"/>
          <w:numId w:val="24"/>
        </w:numPr>
        <w:jc w:val="both"/>
        <w:rPr>
          <w:rFonts w:asciiTheme="majorHAnsi" w:hAnsiTheme="majorHAnsi" w:cs="Times New Roman"/>
          <w:lang w:val="fr-FR"/>
        </w:rPr>
      </w:pPr>
      <w:r>
        <w:rPr>
          <w:rFonts w:asciiTheme="majorHAnsi" w:hAnsiTheme="majorHAnsi" w:cs="Times New Roman"/>
          <w:lang w:val="fr-FR"/>
        </w:rPr>
        <w:t>Projet de Décret en Conseil d’Etat en lien avec le PLFSS 2017</w:t>
      </w:r>
    </w:p>
    <w:p w:rsidR="00EF26D3" w:rsidRDefault="00EF26D3" w:rsidP="00EF26D3">
      <w:pPr>
        <w:pStyle w:val="Paragraphedeliste"/>
        <w:numPr>
          <w:ilvl w:val="0"/>
          <w:numId w:val="24"/>
        </w:numPr>
        <w:jc w:val="both"/>
        <w:rPr>
          <w:rFonts w:asciiTheme="majorHAnsi" w:hAnsiTheme="majorHAnsi" w:cs="Times New Roman"/>
          <w:lang w:val="fr-FR"/>
        </w:rPr>
      </w:pPr>
      <w:r>
        <w:rPr>
          <w:rFonts w:asciiTheme="majorHAnsi" w:hAnsiTheme="majorHAnsi" w:cs="Times New Roman"/>
          <w:lang w:val="fr-FR"/>
        </w:rPr>
        <w:t>Valorisation économique du modèle pour 2017</w:t>
      </w:r>
    </w:p>
    <w:p w:rsidR="00EF26D3" w:rsidRPr="00EF26D3" w:rsidRDefault="00EF26D3" w:rsidP="00EF26D3">
      <w:pPr>
        <w:pStyle w:val="Paragraphedeliste"/>
        <w:numPr>
          <w:ilvl w:val="0"/>
          <w:numId w:val="24"/>
        </w:numPr>
        <w:jc w:val="both"/>
        <w:rPr>
          <w:rFonts w:asciiTheme="majorHAnsi" w:hAnsiTheme="majorHAnsi" w:cs="Times New Roman"/>
          <w:lang w:val="fr-FR"/>
        </w:rPr>
      </w:pPr>
      <w:r>
        <w:rPr>
          <w:rFonts w:asciiTheme="majorHAnsi" w:hAnsiTheme="majorHAnsi" w:cs="Times New Roman"/>
          <w:lang w:val="fr-FR"/>
        </w:rPr>
        <w:t>Travaux en cours</w:t>
      </w:r>
    </w:p>
    <w:p w:rsidR="005B6A89" w:rsidRDefault="00EF26D3" w:rsidP="00C54CF4">
      <w:pPr>
        <w:jc w:val="both"/>
        <w:rPr>
          <w:rFonts w:asciiTheme="majorHAnsi" w:hAnsiTheme="majorHAnsi" w:cs="Times New Roman"/>
          <w:lang w:val="fr-FR"/>
        </w:rPr>
      </w:pPr>
      <w:r>
        <w:rPr>
          <w:rFonts w:asciiTheme="majorHAnsi" w:hAnsiTheme="majorHAnsi" w:cs="Times New Roman"/>
          <w:lang w:val="fr-FR"/>
        </w:rPr>
        <w:t>L</w:t>
      </w:r>
      <w:r w:rsidR="00C54CF4">
        <w:rPr>
          <w:rFonts w:asciiTheme="majorHAnsi" w:hAnsiTheme="majorHAnsi" w:cs="Times New Roman"/>
          <w:lang w:val="fr-FR"/>
        </w:rPr>
        <w:t xml:space="preserve">e COPIL </w:t>
      </w:r>
      <w:r>
        <w:rPr>
          <w:rFonts w:asciiTheme="majorHAnsi" w:hAnsiTheme="majorHAnsi" w:cs="Times New Roman"/>
          <w:lang w:val="fr-FR"/>
        </w:rPr>
        <w:t xml:space="preserve">est </w:t>
      </w:r>
      <w:r w:rsidR="008C089A">
        <w:rPr>
          <w:rFonts w:asciiTheme="majorHAnsi" w:hAnsiTheme="majorHAnsi" w:cs="Times New Roman"/>
          <w:lang w:val="fr-FR"/>
        </w:rPr>
        <w:t>dirigé</w:t>
      </w:r>
      <w:r>
        <w:rPr>
          <w:rFonts w:asciiTheme="majorHAnsi" w:hAnsiTheme="majorHAnsi" w:cs="Times New Roman"/>
          <w:lang w:val="fr-FR"/>
        </w:rPr>
        <w:t xml:space="preserve"> par </w:t>
      </w:r>
      <w:r w:rsidR="00C54CF4">
        <w:rPr>
          <w:rFonts w:asciiTheme="majorHAnsi" w:hAnsiTheme="majorHAnsi" w:cs="Times New Roman"/>
          <w:lang w:val="fr-FR"/>
        </w:rPr>
        <w:t>Katia JULIENNE</w:t>
      </w:r>
      <w:r>
        <w:rPr>
          <w:rFonts w:asciiTheme="majorHAnsi" w:hAnsiTheme="majorHAnsi" w:cs="Times New Roman"/>
          <w:lang w:val="fr-FR"/>
        </w:rPr>
        <w:t xml:space="preserve"> accompagnée de Samuel PRATT MARTY, Sandrine BILLET</w:t>
      </w:r>
      <w:r w:rsidR="00C54CF4">
        <w:rPr>
          <w:rFonts w:asciiTheme="majorHAnsi" w:hAnsiTheme="majorHAnsi" w:cs="Times New Roman"/>
          <w:lang w:val="fr-FR"/>
        </w:rPr>
        <w:t xml:space="preserve"> et Hélène </w:t>
      </w:r>
      <w:proofErr w:type="spellStart"/>
      <w:r w:rsidR="00C54CF4">
        <w:rPr>
          <w:rFonts w:asciiTheme="majorHAnsi" w:hAnsiTheme="majorHAnsi" w:cs="Times New Roman"/>
          <w:lang w:val="fr-FR"/>
        </w:rPr>
        <w:t>DeFAVERGES</w:t>
      </w:r>
      <w:proofErr w:type="spellEnd"/>
      <w:r w:rsidR="00C54CF4">
        <w:rPr>
          <w:rFonts w:asciiTheme="majorHAnsi" w:hAnsiTheme="majorHAnsi" w:cs="Times New Roman"/>
          <w:lang w:val="fr-FR"/>
        </w:rPr>
        <w:t>.</w:t>
      </w:r>
    </w:p>
    <w:p w:rsidR="00EF26D3" w:rsidRDefault="00E413C9" w:rsidP="00C54CF4">
      <w:pPr>
        <w:jc w:val="both"/>
        <w:rPr>
          <w:rFonts w:asciiTheme="majorHAnsi" w:hAnsiTheme="majorHAnsi" w:cs="Times New Roman"/>
          <w:lang w:val="fr-FR"/>
        </w:rPr>
      </w:pPr>
      <w:r>
        <w:rPr>
          <w:rFonts w:asciiTheme="majorHAnsi" w:hAnsiTheme="majorHAnsi" w:cs="Times New Roman"/>
          <w:lang w:val="fr-FR"/>
        </w:rPr>
        <w:t>Le diaporama présenté en séance devrait nous être adressé très rapidement.</w:t>
      </w:r>
    </w:p>
    <w:p w:rsidR="00E413C9" w:rsidRDefault="00E413C9" w:rsidP="00C54CF4">
      <w:pPr>
        <w:jc w:val="both"/>
        <w:rPr>
          <w:rFonts w:asciiTheme="majorHAnsi" w:hAnsiTheme="majorHAnsi" w:cs="Times New Roman"/>
          <w:lang w:val="fr-FR"/>
        </w:rPr>
      </w:pPr>
      <w:r>
        <w:rPr>
          <w:rFonts w:asciiTheme="majorHAnsi" w:hAnsiTheme="majorHAnsi" w:cs="Times New Roman"/>
          <w:lang w:val="fr-FR"/>
        </w:rPr>
        <w:t>Mme JULIENNE et Hélène De Faverges rappellent dans une longue introduction les objectifs de cette réforme. Elles insistent sur le rôle clé du SSR dans le parcours de soin, le lien avec la ville et les alternatives à l’hospitalisation à temps complet.</w:t>
      </w:r>
    </w:p>
    <w:p w:rsidR="00E413C9" w:rsidRDefault="00E413C9" w:rsidP="00C54CF4">
      <w:pPr>
        <w:jc w:val="both"/>
        <w:rPr>
          <w:rFonts w:asciiTheme="majorHAnsi" w:hAnsiTheme="majorHAnsi" w:cs="Times New Roman"/>
          <w:lang w:val="fr-FR"/>
        </w:rPr>
      </w:pPr>
      <w:r>
        <w:rPr>
          <w:rFonts w:asciiTheme="majorHAnsi" w:hAnsiTheme="majorHAnsi" w:cs="Times New Roman"/>
          <w:lang w:val="fr-FR"/>
        </w:rPr>
        <w:t xml:space="preserve">Elles soulignent la volonté de financer </w:t>
      </w:r>
      <w:r w:rsidR="00560480">
        <w:rPr>
          <w:rFonts w:asciiTheme="majorHAnsi" w:hAnsiTheme="majorHAnsi" w:cs="Times New Roman"/>
          <w:lang w:val="fr-FR"/>
        </w:rPr>
        <w:t xml:space="preserve">les établissements </w:t>
      </w:r>
      <w:r>
        <w:rPr>
          <w:rFonts w:asciiTheme="majorHAnsi" w:hAnsiTheme="majorHAnsi" w:cs="Times New Roman"/>
          <w:lang w:val="fr-FR"/>
        </w:rPr>
        <w:t>en lien avec le Service Médical Rendu aux patients.</w:t>
      </w:r>
    </w:p>
    <w:p w:rsidR="00EF26D3" w:rsidRPr="00EF26D3" w:rsidRDefault="00EF26D3" w:rsidP="00EF26D3">
      <w:pPr>
        <w:pStyle w:val="Paragraphedeliste"/>
        <w:numPr>
          <w:ilvl w:val="0"/>
          <w:numId w:val="24"/>
        </w:numPr>
        <w:jc w:val="both"/>
        <w:rPr>
          <w:rFonts w:asciiTheme="majorHAnsi" w:hAnsiTheme="majorHAnsi" w:cs="Times New Roman"/>
          <w:b/>
          <w:u w:val="single"/>
          <w:lang w:val="fr-FR"/>
        </w:rPr>
      </w:pPr>
      <w:r w:rsidRPr="00EF26D3">
        <w:rPr>
          <w:rFonts w:asciiTheme="majorHAnsi" w:hAnsiTheme="majorHAnsi" w:cs="Times New Roman"/>
          <w:b/>
          <w:u w:val="single"/>
          <w:lang w:val="fr-FR"/>
        </w:rPr>
        <w:t>Projet de Décret en Conseil d’Etat</w:t>
      </w:r>
      <w:r w:rsidR="006570C4">
        <w:rPr>
          <w:rFonts w:asciiTheme="majorHAnsi" w:hAnsiTheme="majorHAnsi" w:cs="Times New Roman"/>
          <w:b/>
          <w:u w:val="single"/>
          <w:lang w:val="fr-FR"/>
        </w:rPr>
        <w:t xml:space="preserve"> (DCE)</w:t>
      </w:r>
      <w:r w:rsidRPr="00EF26D3">
        <w:rPr>
          <w:rFonts w:asciiTheme="majorHAnsi" w:hAnsiTheme="majorHAnsi" w:cs="Times New Roman"/>
          <w:b/>
          <w:u w:val="single"/>
          <w:lang w:val="fr-FR"/>
        </w:rPr>
        <w:t xml:space="preserve"> en lien avec le PLFSS 2017</w:t>
      </w:r>
    </w:p>
    <w:p w:rsidR="00EF26D3" w:rsidRDefault="00E413C9" w:rsidP="008C089A">
      <w:pPr>
        <w:jc w:val="both"/>
        <w:rPr>
          <w:rFonts w:asciiTheme="majorHAnsi" w:hAnsiTheme="majorHAnsi" w:cs="Times New Roman"/>
          <w:lang w:val="fr-FR"/>
        </w:rPr>
      </w:pPr>
      <w:r>
        <w:rPr>
          <w:rFonts w:asciiTheme="majorHAnsi" w:hAnsiTheme="majorHAnsi" w:cs="Times New Roman"/>
          <w:lang w:val="fr-FR"/>
        </w:rPr>
        <w:t>Ce décret doit permettre de fixer le cadre réglementaire de la mise en place du dispositif cible (2018) ainsi que du modèle transitoire (2017). Il fera le pont entre les dispositions légales existantes et les nouveaux arrêtés à venir : ODSSR, prestation, tarifaire, modalités de versement.</w:t>
      </w:r>
    </w:p>
    <w:p w:rsidR="006570C4" w:rsidRDefault="006570C4" w:rsidP="008C089A">
      <w:pPr>
        <w:jc w:val="both"/>
        <w:rPr>
          <w:rFonts w:asciiTheme="majorHAnsi" w:hAnsiTheme="majorHAnsi" w:cs="Times New Roman"/>
          <w:lang w:val="fr-FR"/>
        </w:rPr>
      </w:pPr>
      <w:r>
        <w:rPr>
          <w:rFonts w:asciiTheme="majorHAnsi" w:hAnsiTheme="majorHAnsi" w:cs="Times New Roman"/>
          <w:lang w:val="fr-FR"/>
        </w:rPr>
        <w:t>La DGOS indique que le DCE sera « </w:t>
      </w:r>
      <w:proofErr w:type="gramStart"/>
      <w:r w:rsidRPr="006570C4">
        <w:rPr>
          <w:rFonts w:asciiTheme="majorHAnsi" w:hAnsiTheme="majorHAnsi" w:cs="Times New Roman"/>
          <w:i/>
          <w:lang w:val="fr-FR"/>
        </w:rPr>
        <w:t>a</w:t>
      </w:r>
      <w:proofErr w:type="gramEnd"/>
      <w:r w:rsidRPr="006570C4">
        <w:rPr>
          <w:rFonts w:asciiTheme="majorHAnsi" w:hAnsiTheme="majorHAnsi" w:cs="Times New Roman"/>
          <w:i/>
          <w:lang w:val="fr-FR"/>
        </w:rPr>
        <w:t xml:space="preserve"> minima</w:t>
      </w:r>
      <w:r>
        <w:rPr>
          <w:rFonts w:asciiTheme="majorHAnsi" w:hAnsiTheme="majorHAnsi" w:cs="Times New Roman"/>
          <w:lang w:val="fr-FR"/>
        </w:rPr>
        <w:t> » dans la mesure où ce sont surtout les arrêtés qui viendront définir précisément les paramètres du modèle.</w:t>
      </w:r>
    </w:p>
    <w:p w:rsidR="006570C4" w:rsidRDefault="008C089A" w:rsidP="008C089A">
      <w:pPr>
        <w:jc w:val="both"/>
        <w:rPr>
          <w:rFonts w:asciiTheme="majorHAnsi" w:hAnsiTheme="majorHAnsi" w:cs="Times New Roman"/>
          <w:lang w:val="fr-FR"/>
        </w:rPr>
      </w:pPr>
      <w:r>
        <w:rPr>
          <w:rFonts w:asciiTheme="majorHAnsi" w:hAnsiTheme="majorHAnsi" w:cs="Times New Roman"/>
          <w:lang w:val="fr-FR"/>
        </w:rPr>
        <w:t>A priori, le « toilettage » des textes devrait permettre d’asseoir la place et le rôle des Fédérations Hospitalières dans la construction des arrêtés de campagne.</w:t>
      </w:r>
    </w:p>
    <w:p w:rsidR="008C089A" w:rsidRDefault="008C089A" w:rsidP="008C089A">
      <w:pPr>
        <w:jc w:val="both"/>
        <w:rPr>
          <w:rFonts w:asciiTheme="majorHAnsi" w:hAnsiTheme="majorHAnsi" w:cs="Times New Roman"/>
          <w:lang w:val="fr-FR"/>
        </w:rPr>
      </w:pPr>
      <w:r>
        <w:rPr>
          <w:rFonts w:asciiTheme="majorHAnsi" w:hAnsiTheme="majorHAnsi" w:cs="Times New Roman"/>
          <w:lang w:val="fr-FR"/>
        </w:rPr>
        <w:t>En termes de calendrier, le DCE doit être finalisé pour fin janvier 2017.</w:t>
      </w:r>
    </w:p>
    <w:p w:rsidR="008C089A" w:rsidRDefault="008C089A" w:rsidP="008C089A">
      <w:pPr>
        <w:jc w:val="both"/>
        <w:rPr>
          <w:rFonts w:asciiTheme="majorHAnsi" w:hAnsiTheme="majorHAnsi" w:cs="Times New Roman"/>
          <w:lang w:val="fr-FR"/>
        </w:rPr>
      </w:pPr>
      <w:r>
        <w:rPr>
          <w:rFonts w:asciiTheme="majorHAnsi" w:hAnsiTheme="majorHAnsi" w:cs="Times New Roman"/>
          <w:lang w:val="fr-FR"/>
        </w:rPr>
        <w:t>Un projet sera soumis aux Fédérations d’ici la 2</w:t>
      </w:r>
      <w:r w:rsidRPr="008C089A">
        <w:rPr>
          <w:rFonts w:asciiTheme="majorHAnsi" w:hAnsiTheme="majorHAnsi" w:cs="Times New Roman"/>
          <w:vertAlign w:val="superscript"/>
          <w:lang w:val="fr-FR"/>
        </w:rPr>
        <w:t>ème</w:t>
      </w:r>
      <w:r>
        <w:rPr>
          <w:rFonts w:asciiTheme="majorHAnsi" w:hAnsiTheme="majorHAnsi" w:cs="Times New Roman"/>
          <w:lang w:val="fr-FR"/>
        </w:rPr>
        <w:t xml:space="preserve"> quinzaine du mois de décembre 2016 avec, par ailleurs, un document plus générale sur les objectifs de la réforme et des ces incidences au niveau technique (informatiques, facturation, …).</w:t>
      </w:r>
    </w:p>
    <w:p w:rsidR="008C089A" w:rsidRDefault="008C089A" w:rsidP="008C089A">
      <w:pPr>
        <w:jc w:val="both"/>
        <w:rPr>
          <w:rFonts w:asciiTheme="majorHAnsi" w:hAnsiTheme="majorHAnsi" w:cs="Times New Roman"/>
          <w:lang w:val="fr-FR"/>
        </w:rPr>
      </w:pPr>
      <w:r>
        <w:rPr>
          <w:rFonts w:asciiTheme="majorHAnsi" w:hAnsiTheme="majorHAnsi" w:cs="Times New Roman"/>
          <w:lang w:val="fr-FR"/>
        </w:rPr>
        <w:t xml:space="preserve">La DGOS attend un retour des Fédérations sur le DCE pour </w:t>
      </w:r>
      <w:r w:rsidRPr="008C089A">
        <w:rPr>
          <w:rFonts w:asciiTheme="majorHAnsi" w:hAnsiTheme="majorHAnsi" w:cs="Times New Roman"/>
          <w:b/>
          <w:lang w:val="fr-FR"/>
        </w:rPr>
        <w:t>début janvier 2017</w:t>
      </w:r>
      <w:r>
        <w:rPr>
          <w:rFonts w:asciiTheme="majorHAnsi" w:hAnsiTheme="majorHAnsi" w:cs="Times New Roman"/>
          <w:lang w:val="fr-FR"/>
        </w:rPr>
        <w:t>.</w:t>
      </w:r>
    </w:p>
    <w:p w:rsidR="006570C4" w:rsidRDefault="008C089A" w:rsidP="001A2E9D">
      <w:pPr>
        <w:pBdr>
          <w:top w:val="single" w:sz="4" w:space="1" w:color="auto"/>
          <w:left w:val="single" w:sz="4" w:space="4" w:color="auto"/>
          <w:bottom w:val="single" w:sz="4" w:space="1" w:color="auto"/>
          <w:right w:val="single" w:sz="4" w:space="4" w:color="auto"/>
        </w:pBdr>
        <w:jc w:val="both"/>
        <w:rPr>
          <w:rFonts w:asciiTheme="majorHAnsi" w:hAnsiTheme="majorHAnsi" w:cs="Times New Roman"/>
          <w:lang w:val="fr-FR"/>
        </w:rPr>
      </w:pPr>
      <w:r>
        <w:rPr>
          <w:rFonts w:asciiTheme="majorHAnsi" w:hAnsiTheme="majorHAnsi" w:cs="Times New Roman"/>
          <w:lang w:val="fr-FR"/>
        </w:rPr>
        <w:t xml:space="preserve">Dans la foulée, la FEHAP évoque un diaporama émanant de la DGOS vers les ARS qui évoquerait la refonte du droit des autorisations et l’éventuelle suppression des mentions spécialisées. La FHP-SSR rejoint la FEHAP sur le danger et l’inopportunité que représenterait un glissement du droit « dur » vers le droit « mou » (contractualisation) à l’heure où les établissements vont connaitre un véritable bouleversement de leurs modes de financement. K JULIENNE est catégorique : </w:t>
      </w:r>
      <w:r w:rsidRPr="00560480">
        <w:rPr>
          <w:rFonts w:asciiTheme="majorHAnsi" w:hAnsiTheme="majorHAnsi" w:cs="Times New Roman"/>
          <w:b/>
          <w:lang w:val="fr-FR"/>
        </w:rPr>
        <w:t>le cadre règlementaire des mentions spécialisées n’est absolument pas remis en cause</w:t>
      </w:r>
      <w:r>
        <w:rPr>
          <w:rFonts w:asciiTheme="majorHAnsi" w:hAnsiTheme="majorHAnsi" w:cs="Times New Roman"/>
          <w:lang w:val="fr-FR"/>
        </w:rPr>
        <w:t>.</w:t>
      </w:r>
    </w:p>
    <w:p w:rsidR="00560480" w:rsidRDefault="00560480" w:rsidP="00C54CF4">
      <w:pPr>
        <w:jc w:val="both"/>
        <w:rPr>
          <w:rFonts w:asciiTheme="majorHAnsi" w:hAnsiTheme="majorHAnsi" w:cs="Times New Roman"/>
          <w:lang w:val="fr-FR"/>
        </w:rPr>
      </w:pPr>
    </w:p>
    <w:p w:rsidR="00560480" w:rsidRDefault="00560480" w:rsidP="00C54CF4">
      <w:pPr>
        <w:jc w:val="both"/>
        <w:rPr>
          <w:rFonts w:asciiTheme="majorHAnsi" w:hAnsiTheme="majorHAnsi" w:cs="Times New Roman"/>
          <w:lang w:val="fr-FR"/>
        </w:rPr>
      </w:pPr>
    </w:p>
    <w:p w:rsidR="00560480" w:rsidRPr="00560480" w:rsidRDefault="00560480" w:rsidP="00831EA2">
      <w:pPr>
        <w:pStyle w:val="Paragraphedeliste"/>
        <w:numPr>
          <w:ilvl w:val="0"/>
          <w:numId w:val="24"/>
        </w:numPr>
        <w:rPr>
          <w:rFonts w:asciiTheme="majorHAnsi" w:hAnsiTheme="majorHAnsi" w:cs="Times New Roman"/>
          <w:b/>
          <w:u w:val="single"/>
          <w:lang w:val="fr-FR"/>
        </w:rPr>
      </w:pPr>
      <w:r w:rsidRPr="00560480">
        <w:rPr>
          <w:rFonts w:asciiTheme="majorHAnsi" w:hAnsiTheme="majorHAnsi" w:cs="Times New Roman"/>
          <w:b/>
          <w:u w:val="single"/>
          <w:lang w:val="fr-FR"/>
        </w:rPr>
        <w:t>Valorisation économique du modèle pour 2017</w:t>
      </w:r>
    </w:p>
    <w:p w:rsidR="00560480" w:rsidRDefault="00831EA2" w:rsidP="00560480">
      <w:pPr>
        <w:tabs>
          <w:tab w:val="left" w:pos="902"/>
        </w:tabs>
        <w:jc w:val="both"/>
        <w:rPr>
          <w:rFonts w:asciiTheme="majorHAnsi" w:hAnsiTheme="majorHAnsi" w:cs="Times New Roman"/>
          <w:lang w:val="fr-FR"/>
        </w:rPr>
      </w:pPr>
      <w:r>
        <w:rPr>
          <w:rFonts w:asciiTheme="majorHAnsi" w:hAnsiTheme="majorHAnsi" w:cs="Times New Roman"/>
          <w:lang w:val="fr-FR"/>
        </w:rPr>
        <w:t xml:space="preserve">L’ATIH et la DGOS présentent les paramètres et les premiers résultats des simulations financières du </w:t>
      </w:r>
      <w:r w:rsidRPr="00831EA2">
        <w:rPr>
          <w:rFonts w:asciiTheme="majorHAnsi" w:hAnsiTheme="majorHAnsi" w:cs="Times New Roman"/>
          <w:b/>
          <w:lang w:val="fr-FR"/>
        </w:rPr>
        <w:t>modèle 2017</w:t>
      </w:r>
      <w:r>
        <w:rPr>
          <w:rFonts w:asciiTheme="majorHAnsi" w:hAnsiTheme="majorHAnsi" w:cs="Times New Roman"/>
          <w:lang w:val="fr-FR"/>
        </w:rPr>
        <w:t> :</w:t>
      </w:r>
    </w:p>
    <w:p w:rsidR="00815F27" w:rsidRPr="001A2E9D" w:rsidRDefault="00831EA2" w:rsidP="001A2E9D">
      <w:pPr>
        <w:pStyle w:val="Paragraphedeliste"/>
        <w:numPr>
          <w:ilvl w:val="1"/>
          <w:numId w:val="24"/>
        </w:numPr>
        <w:shd w:val="clear" w:color="auto" w:fill="D9D9D9" w:themeFill="background1" w:themeFillShade="D9"/>
        <w:rPr>
          <w:rFonts w:asciiTheme="majorHAnsi" w:hAnsiTheme="majorHAnsi"/>
          <w:b/>
          <w:i/>
          <w:lang w:val="fr-FR"/>
        </w:rPr>
      </w:pPr>
      <w:proofErr w:type="gramStart"/>
      <w:r w:rsidRPr="001A2E9D">
        <w:rPr>
          <w:rFonts w:asciiTheme="majorHAnsi" w:hAnsiTheme="majorHAnsi"/>
          <w:b/>
          <w:i/>
          <w:lang w:val="fr-FR"/>
        </w:rPr>
        <w:t>Paramètres</w:t>
      </w:r>
      <w:proofErr w:type="gramEnd"/>
      <w:r w:rsidRPr="001A2E9D">
        <w:rPr>
          <w:rFonts w:asciiTheme="majorHAnsi" w:hAnsiTheme="majorHAnsi"/>
          <w:b/>
          <w:i/>
          <w:lang w:val="fr-FR"/>
        </w:rPr>
        <w:t> :</w:t>
      </w:r>
    </w:p>
    <w:p w:rsidR="00831EA2" w:rsidRPr="00831EA2" w:rsidRDefault="00831EA2" w:rsidP="00831EA2">
      <w:pPr>
        <w:pStyle w:val="Paragraphedeliste"/>
        <w:numPr>
          <w:ilvl w:val="2"/>
          <w:numId w:val="24"/>
        </w:numPr>
        <w:rPr>
          <w:rFonts w:asciiTheme="majorHAnsi" w:hAnsiTheme="majorHAnsi"/>
          <w:lang w:val="fr-FR"/>
        </w:rPr>
      </w:pPr>
      <w:r w:rsidRPr="00831EA2">
        <w:rPr>
          <w:rFonts w:asciiTheme="majorHAnsi" w:hAnsiTheme="majorHAnsi"/>
          <w:lang w:val="fr-FR"/>
        </w:rPr>
        <w:t>Deux échelles de pondérations des GME et de zones forfaitaires (OQN vs DAF)</w:t>
      </w:r>
    </w:p>
    <w:p w:rsidR="00831EA2" w:rsidRPr="00831EA2" w:rsidRDefault="00831EA2" w:rsidP="00831EA2">
      <w:pPr>
        <w:pStyle w:val="Paragraphedeliste"/>
        <w:numPr>
          <w:ilvl w:val="2"/>
          <w:numId w:val="24"/>
        </w:numPr>
        <w:rPr>
          <w:rFonts w:asciiTheme="majorHAnsi" w:hAnsiTheme="majorHAnsi"/>
          <w:lang w:val="fr-FR"/>
        </w:rPr>
      </w:pPr>
      <w:r w:rsidRPr="00831EA2">
        <w:rPr>
          <w:rFonts w:asciiTheme="majorHAnsi" w:hAnsiTheme="majorHAnsi"/>
          <w:lang w:val="fr-FR"/>
        </w:rPr>
        <w:t>Simulations basées sur les données PMSI 2015</w:t>
      </w:r>
    </w:p>
    <w:p w:rsidR="00831EA2" w:rsidRP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Sur t</w:t>
      </w:r>
      <w:r w:rsidRPr="00831EA2">
        <w:rPr>
          <w:rFonts w:asciiTheme="majorHAnsi" w:hAnsiTheme="majorHAnsi"/>
          <w:lang w:val="fr-FR"/>
        </w:rPr>
        <w:t xml:space="preserve">rois années de couts </w:t>
      </w:r>
    </w:p>
    <w:p w:rsidR="00831EA2" w:rsidRDefault="00831EA2" w:rsidP="00831EA2">
      <w:pPr>
        <w:pStyle w:val="Paragraphedeliste"/>
        <w:numPr>
          <w:ilvl w:val="2"/>
          <w:numId w:val="24"/>
        </w:numPr>
        <w:rPr>
          <w:rFonts w:asciiTheme="majorHAnsi" w:hAnsiTheme="majorHAnsi"/>
          <w:lang w:val="fr-FR"/>
        </w:rPr>
      </w:pPr>
      <w:r w:rsidRPr="00831EA2">
        <w:rPr>
          <w:rFonts w:asciiTheme="majorHAnsi" w:hAnsiTheme="majorHAnsi"/>
          <w:lang w:val="fr-FR"/>
        </w:rPr>
        <w:t xml:space="preserve">GMT « tout compris » </w:t>
      </w:r>
    </w:p>
    <w:p w:rsid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 xml:space="preserve">Avec prise en compte des GME </w:t>
      </w:r>
      <w:proofErr w:type="spellStart"/>
      <w:r>
        <w:rPr>
          <w:rFonts w:asciiTheme="majorHAnsi" w:hAnsiTheme="majorHAnsi"/>
          <w:lang w:val="fr-FR"/>
        </w:rPr>
        <w:t>forfaitisables</w:t>
      </w:r>
      <w:proofErr w:type="spellEnd"/>
      <w:r>
        <w:rPr>
          <w:rFonts w:asciiTheme="majorHAnsi" w:hAnsiTheme="majorHAnsi"/>
          <w:lang w:val="fr-FR"/>
        </w:rPr>
        <w:t xml:space="preserve"> (3 semaines) et non </w:t>
      </w:r>
      <w:proofErr w:type="spellStart"/>
      <w:r>
        <w:rPr>
          <w:rFonts w:asciiTheme="majorHAnsi" w:hAnsiTheme="majorHAnsi"/>
          <w:lang w:val="fr-FR"/>
        </w:rPr>
        <w:t>forfaitisables</w:t>
      </w:r>
      <w:proofErr w:type="spellEnd"/>
      <w:r>
        <w:rPr>
          <w:rFonts w:asciiTheme="majorHAnsi" w:hAnsiTheme="majorHAnsi"/>
          <w:lang w:val="fr-FR"/>
        </w:rPr>
        <w:t xml:space="preserve"> (1 semaine)</w:t>
      </w:r>
    </w:p>
    <w:p w:rsid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 pas de pénalisation des durées de séjours supérieures à la DMS »</w:t>
      </w:r>
    </w:p>
    <w:p w:rsid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Coefficient RR</w:t>
      </w:r>
    </w:p>
    <w:p w:rsid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Coefficients géographiques</w:t>
      </w:r>
    </w:p>
    <w:p w:rsidR="00831EA2" w:rsidRDefault="00831EA2" w:rsidP="00831EA2">
      <w:pPr>
        <w:pStyle w:val="Paragraphedeliste"/>
        <w:numPr>
          <w:ilvl w:val="2"/>
          <w:numId w:val="24"/>
        </w:numPr>
        <w:rPr>
          <w:rFonts w:asciiTheme="majorHAnsi" w:hAnsiTheme="majorHAnsi"/>
          <w:lang w:val="fr-FR"/>
        </w:rPr>
      </w:pPr>
      <w:r>
        <w:rPr>
          <w:rFonts w:asciiTheme="majorHAnsi" w:hAnsiTheme="majorHAnsi"/>
          <w:lang w:val="fr-FR"/>
        </w:rPr>
        <w:t xml:space="preserve">Avec autres compartiments pour le secteur sous DAF </w:t>
      </w:r>
      <w:r w:rsidRPr="001A2E9D">
        <w:rPr>
          <w:rFonts w:asciiTheme="majorHAnsi" w:hAnsiTheme="majorHAnsi"/>
          <w:b/>
          <w:u w:val="single"/>
          <w:lang w:val="fr-FR"/>
        </w:rPr>
        <w:t>MAIS PAS</w:t>
      </w:r>
      <w:r>
        <w:rPr>
          <w:rFonts w:asciiTheme="majorHAnsi" w:hAnsiTheme="majorHAnsi"/>
          <w:lang w:val="fr-FR"/>
        </w:rPr>
        <w:t xml:space="preserve"> pour le secteur sous OQN :</w:t>
      </w:r>
    </w:p>
    <w:p w:rsidR="00831EA2" w:rsidRDefault="00831EA2" w:rsidP="001A2E9D">
      <w:pPr>
        <w:pStyle w:val="Paragraphedeliste"/>
        <w:numPr>
          <w:ilvl w:val="3"/>
          <w:numId w:val="24"/>
        </w:numPr>
        <w:jc w:val="both"/>
        <w:rPr>
          <w:rFonts w:asciiTheme="majorHAnsi" w:hAnsiTheme="majorHAnsi"/>
          <w:lang w:val="fr-FR"/>
        </w:rPr>
      </w:pPr>
      <w:r>
        <w:rPr>
          <w:rFonts w:asciiTheme="majorHAnsi" w:hAnsiTheme="majorHAnsi"/>
          <w:lang w:val="fr-FR"/>
        </w:rPr>
        <w:t xml:space="preserve">MIGAC/PTS/MO: </w:t>
      </w:r>
      <w:proofErr w:type="spellStart"/>
      <w:r>
        <w:rPr>
          <w:rFonts w:asciiTheme="majorHAnsi" w:hAnsiTheme="majorHAnsi"/>
          <w:lang w:val="fr-FR"/>
        </w:rPr>
        <w:t>re</w:t>
      </w:r>
      <w:proofErr w:type="spellEnd"/>
      <w:r>
        <w:rPr>
          <w:rFonts w:asciiTheme="majorHAnsi" w:hAnsiTheme="majorHAnsi"/>
          <w:lang w:val="fr-FR"/>
        </w:rPr>
        <w:t xml:space="preserve"> </w:t>
      </w:r>
      <w:proofErr w:type="spellStart"/>
      <w:r>
        <w:rPr>
          <w:rFonts w:asciiTheme="majorHAnsi" w:hAnsiTheme="majorHAnsi"/>
          <w:lang w:val="fr-FR"/>
        </w:rPr>
        <w:t>basage</w:t>
      </w:r>
      <w:proofErr w:type="spellEnd"/>
      <w:r>
        <w:rPr>
          <w:rFonts w:asciiTheme="majorHAnsi" w:hAnsiTheme="majorHAnsi"/>
          <w:lang w:val="fr-FR"/>
        </w:rPr>
        <w:t xml:space="preserve"> inter établissements sous DAF </w:t>
      </w:r>
    </w:p>
    <w:p w:rsidR="00831EA2" w:rsidRDefault="00831EA2" w:rsidP="001A2E9D">
      <w:pPr>
        <w:pStyle w:val="Paragraphedeliste"/>
        <w:numPr>
          <w:ilvl w:val="3"/>
          <w:numId w:val="24"/>
        </w:numPr>
        <w:jc w:val="both"/>
        <w:rPr>
          <w:rFonts w:asciiTheme="majorHAnsi" w:hAnsiTheme="majorHAnsi"/>
          <w:lang w:val="fr-FR"/>
        </w:rPr>
      </w:pPr>
      <w:r>
        <w:rPr>
          <w:rFonts w:asciiTheme="majorHAnsi" w:hAnsiTheme="majorHAnsi"/>
          <w:lang w:val="fr-FR"/>
        </w:rPr>
        <w:t xml:space="preserve">Pour le secteur sous OQN : difficultés pour repérer la partie du PJ qui relève du PTS. Pas de MO pour le secteur sous OQN en 2017 (PLFSS 2017). Le PTS sera toutefois financé pour le </w:t>
      </w:r>
      <w:r w:rsidR="001A2E9D">
        <w:rPr>
          <w:rFonts w:asciiTheme="majorHAnsi" w:hAnsiTheme="majorHAnsi"/>
          <w:lang w:val="fr-FR"/>
        </w:rPr>
        <w:t>secteur</w:t>
      </w:r>
      <w:r>
        <w:rPr>
          <w:rFonts w:asciiTheme="majorHAnsi" w:hAnsiTheme="majorHAnsi"/>
          <w:lang w:val="fr-FR"/>
        </w:rPr>
        <w:t xml:space="preserve"> sous OQN </w:t>
      </w:r>
      <w:r w:rsidR="001A2E9D">
        <w:rPr>
          <w:rFonts w:asciiTheme="majorHAnsi" w:hAnsiTheme="majorHAnsi"/>
          <w:lang w:val="fr-FR"/>
        </w:rPr>
        <w:t xml:space="preserve">en 2017 </w:t>
      </w:r>
      <w:r>
        <w:rPr>
          <w:rFonts w:asciiTheme="majorHAnsi" w:hAnsiTheme="majorHAnsi"/>
          <w:lang w:val="fr-FR"/>
        </w:rPr>
        <w:t xml:space="preserve">après </w:t>
      </w:r>
      <w:r w:rsidR="001A2E9D">
        <w:rPr>
          <w:rFonts w:asciiTheme="majorHAnsi" w:hAnsiTheme="majorHAnsi"/>
          <w:lang w:val="fr-FR"/>
        </w:rPr>
        <w:t>études complémentaires.</w:t>
      </w:r>
    </w:p>
    <w:p w:rsidR="001A2E9D" w:rsidRDefault="001A2E9D" w:rsidP="001A2E9D">
      <w:pPr>
        <w:pStyle w:val="Paragraphedeliste"/>
        <w:numPr>
          <w:ilvl w:val="2"/>
          <w:numId w:val="24"/>
        </w:numPr>
        <w:jc w:val="both"/>
        <w:rPr>
          <w:rFonts w:asciiTheme="majorHAnsi" w:hAnsiTheme="majorHAnsi"/>
          <w:b/>
          <w:lang w:val="fr-FR"/>
        </w:rPr>
      </w:pPr>
      <w:r w:rsidRPr="001A2E9D">
        <w:rPr>
          <w:rFonts w:asciiTheme="majorHAnsi" w:hAnsiTheme="majorHAnsi"/>
          <w:b/>
          <w:lang w:val="fr-FR"/>
        </w:rPr>
        <w:t xml:space="preserve">Intégration de DMA : </w:t>
      </w:r>
      <w:r w:rsidRPr="001A2E9D">
        <w:rPr>
          <w:rFonts w:asciiTheme="majorHAnsi" w:hAnsiTheme="majorHAnsi"/>
          <w:b/>
          <w:u w:val="single"/>
          <w:lang w:val="fr-FR"/>
        </w:rPr>
        <w:t>20%</w:t>
      </w:r>
    </w:p>
    <w:p w:rsidR="001A2E9D" w:rsidRDefault="001A2E9D" w:rsidP="001A2E9D">
      <w:pPr>
        <w:pStyle w:val="Paragraphedeliste"/>
        <w:numPr>
          <w:ilvl w:val="3"/>
          <w:numId w:val="24"/>
        </w:numPr>
        <w:jc w:val="both"/>
        <w:rPr>
          <w:rFonts w:asciiTheme="majorHAnsi" w:hAnsiTheme="majorHAnsi"/>
          <w:b/>
          <w:lang w:val="fr-FR"/>
        </w:rPr>
      </w:pPr>
      <w:r>
        <w:rPr>
          <w:rFonts w:asciiTheme="majorHAnsi" w:hAnsiTheme="majorHAnsi"/>
          <w:b/>
          <w:lang w:val="fr-FR"/>
        </w:rPr>
        <w:t>Recettes Issues des Simulations (RIS) = [tarifs GME X 20%] + [Recettes Actuelles X 80%]</w:t>
      </w:r>
    </w:p>
    <w:p w:rsidR="001A2E9D" w:rsidRDefault="001A2E9D" w:rsidP="001A2E9D">
      <w:pPr>
        <w:pStyle w:val="Paragraphedeliste"/>
        <w:numPr>
          <w:ilvl w:val="3"/>
          <w:numId w:val="24"/>
        </w:numPr>
        <w:jc w:val="both"/>
        <w:rPr>
          <w:rFonts w:asciiTheme="majorHAnsi" w:hAnsiTheme="majorHAnsi"/>
          <w:b/>
          <w:lang w:val="fr-FR"/>
        </w:rPr>
      </w:pPr>
      <w:r>
        <w:rPr>
          <w:rFonts w:asciiTheme="majorHAnsi" w:hAnsiTheme="majorHAnsi"/>
          <w:b/>
          <w:lang w:val="fr-FR"/>
        </w:rPr>
        <w:t>Confirmation : il n’y</w:t>
      </w:r>
      <w:r w:rsidR="00EA141B">
        <w:rPr>
          <w:rFonts w:asciiTheme="majorHAnsi" w:hAnsiTheme="majorHAnsi"/>
          <w:b/>
          <w:lang w:val="fr-FR"/>
        </w:rPr>
        <w:t xml:space="preserve"> a</w:t>
      </w:r>
      <w:bookmarkStart w:id="0" w:name="_GoBack"/>
      <w:bookmarkEnd w:id="0"/>
      <w:r>
        <w:rPr>
          <w:rFonts w:asciiTheme="majorHAnsi" w:hAnsiTheme="majorHAnsi"/>
          <w:b/>
          <w:lang w:val="fr-FR"/>
        </w:rPr>
        <w:t xml:space="preserve"> donc pas de prise compte </w:t>
      </w:r>
      <w:proofErr w:type="gramStart"/>
      <w:r>
        <w:rPr>
          <w:rFonts w:asciiTheme="majorHAnsi" w:hAnsiTheme="majorHAnsi"/>
          <w:b/>
          <w:lang w:val="fr-FR"/>
        </w:rPr>
        <w:t>du</w:t>
      </w:r>
      <w:proofErr w:type="gramEnd"/>
      <w:r>
        <w:rPr>
          <w:rFonts w:asciiTheme="majorHAnsi" w:hAnsiTheme="majorHAnsi"/>
          <w:b/>
          <w:lang w:val="fr-FR"/>
        </w:rPr>
        <w:t xml:space="preserve"> case mix historique pour 2017</w:t>
      </w:r>
    </w:p>
    <w:p w:rsidR="001A2E9D" w:rsidRDefault="001A2E9D" w:rsidP="001A2E9D">
      <w:pPr>
        <w:pStyle w:val="Paragraphedeliste"/>
        <w:numPr>
          <w:ilvl w:val="3"/>
          <w:numId w:val="24"/>
        </w:numPr>
        <w:jc w:val="both"/>
        <w:rPr>
          <w:rFonts w:asciiTheme="majorHAnsi" w:hAnsiTheme="majorHAnsi"/>
          <w:b/>
          <w:lang w:val="fr-FR"/>
        </w:rPr>
      </w:pPr>
      <w:r>
        <w:rPr>
          <w:rFonts w:asciiTheme="majorHAnsi" w:hAnsiTheme="majorHAnsi"/>
          <w:b/>
          <w:lang w:val="fr-FR"/>
        </w:rPr>
        <w:t>Les effets revenus engendrés par ce niveau d’intégration peuvent être limités par le biais d’un coefficient de transition qui n’est pas fixé et qui n’entre donc pas en compte dans ces simulations.</w:t>
      </w:r>
    </w:p>
    <w:p w:rsidR="00EA141B" w:rsidRDefault="00EA141B" w:rsidP="001A2E9D">
      <w:pPr>
        <w:pStyle w:val="Paragraphedeliste"/>
        <w:numPr>
          <w:ilvl w:val="3"/>
          <w:numId w:val="24"/>
        </w:numPr>
        <w:jc w:val="both"/>
        <w:rPr>
          <w:rFonts w:asciiTheme="majorHAnsi" w:hAnsiTheme="majorHAnsi"/>
          <w:b/>
          <w:lang w:val="fr-FR"/>
        </w:rPr>
      </w:pPr>
      <w:r w:rsidRPr="00EA141B">
        <w:rPr>
          <w:rFonts w:asciiTheme="majorHAnsi" w:hAnsiTheme="majorHAnsi"/>
          <w:b/>
          <w:u w:val="single"/>
          <w:lang w:val="fr-FR"/>
        </w:rPr>
        <w:t>Ce niveau de 20% reste soumis à discussion</w:t>
      </w:r>
      <w:r>
        <w:rPr>
          <w:rFonts w:asciiTheme="majorHAnsi" w:hAnsiTheme="majorHAnsi"/>
          <w:b/>
          <w:lang w:val="fr-FR"/>
        </w:rPr>
        <w:t>, il ne s’agit là que d’une hypothèse de travail d’après la DGOS.</w:t>
      </w:r>
    </w:p>
    <w:p w:rsidR="001A2E9D" w:rsidRDefault="001A2E9D" w:rsidP="001A2E9D">
      <w:pPr>
        <w:pStyle w:val="Paragraphedeliste"/>
        <w:ind w:left="2880"/>
        <w:jc w:val="both"/>
        <w:rPr>
          <w:rFonts w:asciiTheme="majorHAnsi" w:hAnsiTheme="majorHAnsi"/>
          <w:b/>
          <w:lang w:val="fr-FR"/>
        </w:rPr>
      </w:pPr>
    </w:p>
    <w:p w:rsidR="001A2E9D" w:rsidRPr="001A2E9D" w:rsidRDefault="001A2E9D" w:rsidP="001A2E9D">
      <w:pPr>
        <w:pStyle w:val="Paragraphedeliste"/>
        <w:numPr>
          <w:ilvl w:val="1"/>
          <w:numId w:val="24"/>
        </w:numPr>
        <w:shd w:val="clear" w:color="auto" w:fill="D9D9D9" w:themeFill="background1" w:themeFillShade="D9"/>
        <w:rPr>
          <w:rFonts w:asciiTheme="majorHAnsi" w:hAnsiTheme="majorHAnsi"/>
          <w:b/>
          <w:i/>
          <w:lang w:val="fr-FR"/>
        </w:rPr>
      </w:pPr>
      <w:r>
        <w:rPr>
          <w:rFonts w:asciiTheme="majorHAnsi" w:hAnsiTheme="majorHAnsi"/>
          <w:b/>
          <w:i/>
          <w:lang w:val="fr-FR"/>
        </w:rPr>
        <w:t>1ers résultats macro-économiques</w:t>
      </w:r>
      <w:r w:rsidRPr="001A2E9D">
        <w:rPr>
          <w:rFonts w:asciiTheme="majorHAnsi" w:hAnsiTheme="majorHAnsi"/>
          <w:b/>
          <w:i/>
          <w:lang w:val="fr-FR"/>
        </w:rPr>
        <w:t> :</w:t>
      </w:r>
    </w:p>
    <w:p w:rsidR="00AB36B5" w:rsidRDefault="00AB36B5" w:rsidP="00AB36B5">
      <w:pPr>
        <w:pStyle w:val="Paragraphedeliste"/>
        <w:numPr>
          <w:ilvl w:val="2"/>
          <w:numId w:val="24"/>
        </w:numPr>
        <w:rPr>
          <w:rFonts w:asciiTheme="majorHAnsi" w:hAnsiTheme="majorHAnsi"/>
          <w:lang w:val="fr-FR"/>
        </w:rPr>
      </w:pPr>
      <w:r>
        <w:rPr>
          <w:rFonts w:asciiTheme="majorHAnsi" w:hAnsiTheme="majorHAnsi"/>
          <w:lang w:val="fr-FR"/>
        </w:rPr>
        <w:t>489 établissements sous OQN dont 45 privés à but non lucratif</w:t>
      </w:r>
    </w:p>
    <w:p w:rsidR="00AB36B5" w:rsidRDefault="00AB36B5" w:rsidP="00AB36B5">
      <w:pPr>
        <w:pStyle w:val="Paragraphedeliste"/>
        <w:numPr>
          <w:ilvl w:val="2"/>
          <w:numId w:val="24"/>
        </w:numPr>
        <w:rPr>
          <w:rFonts w:asciiTheme="majorHAnsi" w:hAnsiTheme="majorHAnsi"/>
          <w:lang w:val="fr-FR"/>
        </w:rPr>
      </w:pPr>
      <w:r>
        <w:rPr>
          <w:rFonts w:asciiTheme="majorHAnsi" w:hAnsiTheme="majorHAnsi"/>
          <w:lang w:val="fr-FR"/>
        </w:rPr>
        <w:t xml:space="preserve">44% des établissements (58% de masse financière) sont « perdants » </w:t>
      </w:r>
    </w:p>
    <w:p w:rsidR="00AB36B5" w:rsidRDefault="00AB36B5" w:rsidP="00AB36B5">
      <w:pPr>
        <w:pStyle w:val="Paragraphedeliste"/>
        <w:numPr>
          <w:ilvl w:val="2"/>
          <w:numId w:val="24"/>
        </w:numPr>
        <w:rPr>
          <w:rFonts w:asciiTheme="majorHAnsi" w:hAnsiTheme="majorHAnsi"/>
          <w:lang w:val="fr-FR"/>
        </w:rPr>
      </w:pPr>
      <w:r>
        <w:rPr>
          <w:rFonts w:asciiTheme="majorHAnsi" w:hAnsiTheme="majorHAnsi"/>
          <w:lang w:val="fr-FR"/>
        </w:rPr>
        <w:t>56% des établissements (42% de masse financière) sont « gagnants »</w:t>
      </w:r>
    </w:p>
    <w:p w:rsidR="00AB36B5" w:rsidRDefault="00AB36B5" w:rsidP="00AB36B5">
      <w:pPr>
        <w:pStyle w:val="Paragraphedeliste"/>
        <w:numPr>
          <w:ilvl w:val="2"/>
          <w:numId w:val="24"/>
        </w:numPr>
        <w:rPr>
          <w:rFonts w:asciiTheme="majorHAnsi" w:hAnsiTheme="majorHAnsi"/>
          <w:lang w:val="fr-FR"/>
        </w:rPr>
      </w:pPr>
      <w:r>
        <w:rPr>
          <w:rFonts w:asciiTheme="majorHAnsi" w:hAnsiTheme="majorHAnsi"/>
          <w:lang w:val="fr-FR"/>
        </w:rPr>
        <w:t>42 M€ sont redistribués soit 1,9 % de l’OQN</w:t>
      </w:r>
    </w:p>
    <w:p w:rsidR="00AB36B5" w:rsidRDefault="00AB36B5" w:rsidP="00AB36B5">
      <w:pPr>
        <w:pStyle w:val="Paragraphedeliste"/>
        <w:numPr>
          <w:ilvl w:val="2"/>
          <w:numId w:val="24"/>
        </w:numPr>
        <w:rPr>
          <w:rFonts w:asciiTheme="majorHAnsi" w:hAnsiTheme="majorHAnsi"/>
          <w:lang w:val="fr-FR"/>
        </w:rPr>
      </w:pPr>
      <w:r>
        <w:rPr>
          <w:rFonts w:asciiTheme="majorHAnsi" w:hAnsiTheme="majorHAnsi"/>
          <w:lang w:val="fr-FR"/>
        </w:rPr>
        <w:t>Pas de focus précis sur le profil des établissements perdants ou gagnants</w:t>
      </w:r>
    </w:p>
    <w:p w:rsidR="00D32798" w:rsidRDefault="00D32798" w:rsidP="00D32798">
      <w:pPr>
        <w:jc w:val="both"/>
        <w:rPr>
          <w:rFonts w:asciiTheme="majorHAnsi" w:hAnsiTheme="majorHAnsi"/>
          <w:lang w:val="fr-FR"/>
        </w:rPr>
      </w:pPr>
      <w:r>
        <w:rPr>
          <w:rFonts w:asciiTheme="majorHAnsi" w:hAnsiTheme="majorHAnsi"/>
          <w:lang w:val="fr-FR"/>
        </w:rPr>
        <w:t>La FHP-SSR interpelle en séance la DGOS sur le niveau retenu de DMA dès 2017 et des risques sur les effets revenu. Celle-ci rétorque qu’il ne s’agit qu’une d’une hypothèse de travail et que le coefficient de transition sera mis en place justement pour maitriser ces effets.</w:t>
      </w:r>
    </w:p>
    <w:p w:rsidR="00D32798" w:rsidRDefault="00D32798" w:rsidP="00D32798">
      <w:pPr>
        <w:jc w:val="both"/>
        <w:rPr>
          <w:rFonts w:asciiTheme="majorHAnsi" w:hAnsiTheme="majorHAnsi"/>
          <w:lang w:val="fr-FR"/>
        </w:rPr>
      </w:pPr>
      <w:r>
        <w:rPr>
          <w:rFonts w:asciiTheme="majorHAnsi" w:hAnsiTheme="majorHAnsi"/>
          <w:lang w:val="fr-FR"/>
        </w:rPr>
        <w:lastRenderedPageBreak/>
        <w:t>La FHP-SSR revient également sur le choix, incompréhensible, d’une double échelle de pondération et de zones forfait</w:t>
      </w:r>
      <w:r w:rsidR="001639EC">
        <w:rPr>
          <w:rFonts w:asciiTheme="majorHAnsi" w:hAnsiTheme="majorHAnsi"/>
          <w:lang w:val="fr-FR"/>
        </w:rPr>
        <w:t>ai</w:t>
      </w:r>
      <w:r>
        <w:rPr>
          <w:rFonts w:asciiTheme="majorHAnsi" w:hAnsiTheme="majorHAnsi"/>
          <w:lang w:val="fr-FR"/>
        </w:rPr>
        <w:t>res différentes entre les secteurs</w:t>
      </w:r>
      <w:r w:rsidR="001639EC">
        <w:rPr>
          <w:rFonts w:asciiTheme="majorHAnsi" w:hAnsiTheme="majorHAnsi"/>
          <w:lang w:val="fr-FR"/>
        </w:rPr>
        <w:t>. Elle ajoute, qu’au regard de l’objectif d’un financement lié au SMR, ces différenciations sont totalement inopportunes. La DGOS répond, « à demi-mot », qu’il s’agit là d’une décision politique.</w:t>
      </w:r>
    </w:p>
    <w:p w:rsidR="001639EC" w:rsidRDefault="001639EC" w:rsidP="00D32798">
      <w:pPr>
        <w:jc w:val="both"/>
        <w:rPr>
          <w:rFonts w:asciiTheme="majorHAnsi" w:hAnsiTheme="majorHAnsi"/>
          <w:lang w:val="fr-FR"/>
        </w:rPr>
      </w:pPr>
      <w:r>
        <w:rPr>
          <w:rFonts w:asciiTheme="majorHAnsi" w:hAnsiTheme="majorHAnsi"/>
          <w:lang w:val="fr-FR"/>
        </w:rPr>
        <w:t>En ce qui concerne la transmission de ces simulations :</w:t>
      </w:r>
    </w:p>
    <w:p w:rsidR="001639EC" w:rsidRDefault="001639EC" w:rsidP="001639EC">
      <w:pPr>
        <w:pStyle w:val="Paragraphedeliste"/>
        <w:numPr>
          <w:ilvl w:val="1"/>
          <w:numId w:val="24"/>
        </w:numPr>
        <w:jc w:val="both"/>
        <w:rPr>
          <w:rFonts w:asciiTheme="majorHAnsi" w:hAnsiTheme="majorHAnsi"/>
          <w:lang w:val="fr-FR"/>
        </w:rPr>
      </w:pPr>
      <w:r>
        <w:rPr>
          <w:rFonts w:asciiTheme="majorHAnsi" w:hAnsiTheme="majorHAnsi"/>
          <w:lang w:val="fr-FR"/>
        </w:rPr>
        <w:t>Elles seront transmises aux Fédérations d’ici un à deux jours</w:t>
      </w:r>
    </w:p>
    <w:p w:rsidR="001639EC" w:rsidRDefault="001639EC" w:rsidP="001639EC">
      <w:pPr>
        <w:pStyle w:val="Paragraphedeliste"/>
        <w:numPr>
          <w:ilvl w:val="1"/>
          <w:numId w:val="24"/>
        </w:numPr>
        <w:jc w:val="both"/>
        <w:rPr>
          <w:rFonts w:asciiTheme="majorHAnsi" w:hAnsiTheme="majorHAnsi"/>
          <w:lang w:val="fr-FR"/>
        </w:rPr>
      </w:pPr>
      <w:r>
        <w:rPr>
          <w:rFonts w:asciiTheme="majorHAnsi" w:hAnsiTheme="majorHAnsi"/>
          <w:lang w:val="fr-FR"/>
        </w:rPr>
        <w:t>Elles seront transmises à chaque établissement d’ici la fin de la semaine</w:t>
      </w:r>
    </w:p>
    <w:p w:rsidR="001639EC" w:rsidRDefault="001639EC" w:rsidP="001639EC">
      <w:pPr>
        <w:pStyle w:val="Paragraphedeliste"/>
        <w:numPr>
          <w:ilvl w:val="1"/>
          <w:numId w:val="24"/>
        </w:numPr>
        <w:jc w:val="both"/>
        <w:rPr>
          <w:rFonts w:asciiTheme="majorHAnsi" w:hAnsiTheme="majorHAnsi"/>
          <w:lang w:val="fr-FR"/>
        </w:rPr>
      </w:pPr>
      <w:r>
        <w:rPr>
          <w:rFonts w:asciiTheme="majorHAnsi" w:hAnsiTheme="majorHAnsi"/>
          <w:lang w:val="fr-FR"/>
        </w:rPr>
        <w:t>La FHP-SSR demande à ce que soit transmis en même temps que ces simulations, les outils qui en ont permis le calcul : grille tarifaire, zones forfaitaires, coefficients,…</w:t>
      </w:r>
    </w:p>
    <w:p w:rsidR="00E825FA" w:rsidRDefault="00E825FA" w:rsidP="00E825FA">
      <w:pPr>
        <w:pStyle w:val="Paragraphedeliste"/>
        <w:ind w:left="1440"/>
        <w:jc w:val="both"/>
        <w:rPr>
          <w:rFonts w:asciiTheme="majorHAnsi" w:hAnsiTheme="majorHAnsi"/>
          <w:lang w:val="fr-FR"/>
        </w:rPr>
      </w:pPr>
    </w:p>
    <w:p w:rsidR="00E825FA" w:rsidRPr="00EF26D3" w:rsidRDefault="00E825FA" w:rsidP="00E825FA">
      <w:pPr>
        <w:pStyle w:val="Paragraphedeliste"/>
        <w:numPr>
          <w:ilvl w:val="0"/>
          <w:numId w:val="24"/>
        </w:numPr>
        <w:jc w:val="both"/>
        <w:rPr>
          <w:rFonts w:asciiTheme="majorHAnsi" w:hAnsiTheme="majorHAnsi" w:cs="Times New Roman"/>
          <w:b/>
          <w:u w:val="single"/>
          <w:lang w:val="fr-FR"/>
        </w:rPr>
      </w:pPr>
      <w:r>
        <w:rPr>
          <w:rFonts w:asciiTheme="majorHAnsi" w:hAnsiTheme="majorHAnsi" w:cs="Times New Roman"/>
          <w:b/>
          <w:u w:val="single"/>
          <w:lang w:val="fr-FR"/>
        </w:rPr>
        <w:t>Travaux en cours</w:t>
      </w:r>
    </w:p>
    <w:p w:rsidR="00D32798" w:rsidRPr="00D32798" w:rsidRDefault="00E825FA" w:rsidP="00D32798">
      <w:pPr>
        <w:rPr>
          <w:rFonts w:asciiTheme="majorHAnsi" w:hAnsiTheme="majorHAnsi"/>
          <w:lang w:val="fr-FR"/>
        </w:rPr>
      </w:pPr>
      <w:r>
        <w:rPr>
          <w:rFonts w:asciiTheme="majorHAnsi" w:hAnsiTheme="majorHAnsi"/>
          <w:lang w:val="fr-FR"/>
        </w:rPr>
        <w:t>La DGOS et l’ATIH font l’inventaire des travaux en cours pour l’objectif 2017 et surtout 2018 et qui font l’objet de groupes de travail spécifiques : « surspécialisation », appareillage, score RR, « virage ambulatoire », MO, PTS, chantier de la facturation…</w:t>
      </w:r>
    </w:p>
    <w:p w:rsidR="001A2E9D" w:rsidRPr="00E825FA" w:rsidRDefault="00E825FA" w:rsidP="00AB36B5">
      <w:pPr>
        <w:jc w:val="both"/>
        <w:rPr>
          <w:rFonts w:asciiTheme="majorHAnsi" w:hAnsiTheme="majorHAnsi"/>
          <w:lang w:val="fr-FR"/>
        </w:rPr>
      </w:pPr>
      <w:r>
        <w:rPr>
          <w:rFonts w:asciiTheme="majorHAnsi" w:hAnsiTheme="majorHAnsi"/>
          <w:lang w:val="fr-FR"/>
        </w:rPr>
        <w:t xml:space="preserve">Le sujet du financement de l’impact de la précarité est évoqué par l’ensemble des Fédérations. La DGOS </w:t>
      </w:r>
      <w:r w:rsidR="000F7A32">
        <w:rPr>
          <w:rFonts w:asciiTheme="majorHAnsi" w:hAnsiTheme="majorHAnsi"/>
          <w:lang w:val="fr-FR"/>
        </w:rPr>
        <w:t>souhaite se laisser le temps de travailler sur le sujet en fonction de l’avancée du codage PMSI des établissements et des corrélations avec le modèle de financement existant dans le MCO.</w:t>
      </w:r>
    </w:p>
    <w:p w:rsidR="001A2E9D" w:rsidRDefault="001A2E9D" w:rsidP="001A2E9D">
      <w:pPr>
        <w:jc w:val="both"/>
        <w:rPr>
          <w:rFonts w:asciiTheme="majorHAnsi" w:hAnsiTheme="majorHAnsi"/>
          <w:b/>
          <w:lang w:val="fr-FR"/>
        </w:rPr>
      </w:pPr>
    </w:p>
    <w:p w:rsidR="000F7A32" w:rsidRDefault="000F7A32" w:rsidP="000F7A32">
      <w:pPr>
        <w:jc w:val="center"/>
        <w:rPr>
          <w:rFonts w:asciiTheme="majorHAnsi" w:hAnsiTheme="majorHAnsi"/>
          <w:b/>
          <w:lang w:val="fr-FR"/>
        </w:rPr>
      </w:pPr>
      <w:r>
        <w:rPr>
          <w:rFonts w:asciiTheme="majorHAnsi" w:hAnsiTheme="majorHAnsi"/>
          <w:b/>
          <w:lang w:val="fr-FR"/>
        </w:rPr>
        <w:t>Le prochain COPIL est fixé au 12 janvier 2017.</w:t>
      </w:r>
    </w:p>
    <w:p w:rsidR="000F7A32" w:rsidRPr="001A2E9D" w:rsidRDefault="000F7A32" w:rsidP="000F7A32">
      <w:pPr>
        <w:jc w:val="center"/>
        <w:rPr>
          <w:rFonts w:asciiTheme="majorHAnsi" w:hAnsiTheme="majorHAnsi"/>
          <w:b/>
          <w:lang w:val="fr-FR"/>
        </w:rPr>
      </w:pPr>
      <w:r>
        <w:rPr>
          <w:rFonts w:asciiTheme="majorHAnsi" w:hAnsiTheme="majorHAnsi"/>
          <w:b/>
          <w:lang w:val="fr-FR"/>
        </w:rPr>
        <w:t>D’ici là</w:t>
      </w:r>
      <w:r w:rsidR="00AD4817">
        <w:rPr>
          <w:rFonts w:asciiTheme="majorHAnsi" w:hAnsiTheme="majorHAnsi"/>
          <w:b/>
          <w:lang w:val="fr-FR"/>
        </w:rPr>
        <w:t>,</w:t>
      </w:r>
      <w:r>
        <w:rPr>
          <w:rFonts w:asciiTheme="majorHAnsi" w:hAnsiTheme="majorHAnsi"/>
          <w:b/>
          <w:lang w:val="fr-FR"/>
        </w:rPr>
        <w:t xml:space="preserve"> la DGOS attend des Fédérations des retours sur le projet de DCE et sur les simulations. Mais, pour ces dernières, le COPIL n’est pas une date butoir, des rendez-vous pourront être pris en amont et en aval du 12 janvier 2017.</w:t>
      </w:r>
    </w:p>
    <w:sectPr w:rsidR="000F7A32" w:rsidRPr="001A2E9D" w:rsidSect="00DE4F5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FA" w:rsidRDefault="00442CFA" w:rsidP="00495E78">
      <w:pPr>
        <w:spacing w:after="0"/>
      </w:pPr>
      <w:r>
        <w:separator/>
      </w:r>
    </w:p>
  </w:endnote>
  <w:endnote w:type="continuationSeparator" w:id="0">
    <w:p w:rsidR="00442CFA" w:rsidRDefault="00442CFA" w:rsidP="00495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439301"/>
      <w:docPartObj>
        <w:docPartGallery w:val="Page Numbers (Bottom of Page)"/>
        <w:docPartUnique/>
      </w:docPartObj>
    </w:sdtPr>
    <w:sdtEndPr/>
    <w:sdtContent>
      <w:sdt>
        <w:sdtPr>
          <w:id w:val="-1769616900"/>
          <w:docPartObj>
            <w:docPartGallery w:val="Page Numbers (Top of Page)"/>
            <w:docPartUnique/>
          </w:docPartObj>
        </w:sdtPr>
        <w:sdtEndPr/>
        <w:sdtContent>
          <w:p w:rsidR="00C54CF4" w:rsidRDefault="00C54CF4">
            <w:pPr>
              <w:pStyle w:val="Pieddepage"/>
              <w:jc w:val="right"/>
            </w:pPr>
            <w:r w:rsidRPr="00981E09">
              <w:rPr>
                <w:rFonts w:asciiTheme="majorHAnsi" w:hAnsiTheme="majorHAnsi"/>
                <w:b/>
                <w:bCs/>
              </w:rPr>
              <w:fldChar w:fldCharType="begin"/>
            </w:r>
            <w:r w:rsidRPr="00981E09">
              <w:rPr>
                <w:rFonts w:asciiTheme="majorHAnsi" w:hAnsiTheme="majorHAnsi"/>
                <w:b/>
                <w:bCs/>
              </w:rPr>
              <w:instrText>PAGE</w:instrText>
            </w:r>
            <w:r w:rsidRPr="00981E09">
              <w:rPr>
                <w:rFonts w:asciiTheme="majorHAnsi" w:hAnsiTheme="majorHAnsi"/>
                <w:b/>
                <w:bCs/>
              </w:rPr>
              <w:fldChar w:fldCharType="separate"/>
            </w:r>
            <w:r w:rsidR="00EA141B">
              <w:rPr>
                <w:rFonts w:asciiTheme="majorHAnsi" w:hAnsiTheme="majorHAnsi"/>
                <w:b/>
                <w:bCs/>
                <w:noProof/>
              </w:rPr>
              <w:t>2</w:t>
            </w:r>
            <w:r w:rsidRPr="00981E09">
              <w:rPr>
                <w:rFonts w:asciiTheme="majorHAnsi" w:hAnsiTheme="majorHAnsi"/>
                <w:b/>
                <w:bCs/>
              </w:rPr>
              <w:fldChar w:fldCharType="end"/>
            </w:r>
            <w:r w:rsidRPr="00981E09">
              <w:rPr>
                <w:rFonts w:asciiTheme="majorHAnsi" w:hAnsiTheme="majorHAnsi"/>
                <w:lang w:val="fr-FR"/>
              </w:rPr>
              <w:t xml:space="preserve"> / </w:t>
            </w:r>
            <w:r w:rsidRPr="00981E09">
              <w:rPr>
                <w:rFonts w:asciiTheme="majorHAnsi" w:hAnsiTheme="majorHAnsi"/>
                <w:b/>
                <w:bCs/>
              </w:rPr>
              <w:fldChar w:fldCharType="begin"/>
            </w:r>
            <w:r w:rsidRPr="00981E09">
              <w:rPr>
                <w:rFonts w:asciiTheme="majorHAnsi" w:hAnsiTheme="majorHAnsi"/>
                <w:b/>
                <w:bCs/>
              </w:rPr>
              <w:instrText>NUMPAGES</w:instrText>
            </w:r>
            <w:r w:rsidRPr="00981E09">
              <w:rPr>
                <w:rFonts w:asciiTheme="majorHAnsi" w:hAnsiTheme="majorHAnsi"/>
                <w:b/>
                <w:bCs/>
              </w:rPr>
              <w:fldChar w:fldCharType="separate"/>
            </w:r>
            <w:r w:rsidR="00EA141B">
              <w:rPr>
                <w:rFonts w:asciiTheme="majorHAnsi" w:hAnsiTheme="majorHAnsi"/>
                <w:b/>
                <w:bCs/>
                <w:noProof/>
              </w:rPr>
              <w:t>3</w:t>
            </w:r>
            <w:r w:rsidRPr="00981E09">
              <w:rPr>
                <w:rFonts w:asciiTheme="majorHAnsi" w:hAnsiTheme="majorHAnsi"/>
                <w:b/>
                <w:bCs/>
              </w:rPr>
              <w:fldChar w:fldCharType="end"/>
            </w:r>
          </w:p>
        </w:sdtContent>
      </w:sdt>
    </w:sdtContent>
  </w:sdt>
  <w:p w:rsidR="00C54CF4" w:rsidRDefault="00C54C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FA" w:rsidRDefault="00442CFA" w:rsidP="00495E78">
      <w:pPr>
        <w:spacing w:after="0"/>
      </w:pPr>
      <w:r>
        <w:separator/>
      </w:r>
    </w:p>
  </w:footnote>
  <w:footnote w:type="continuationSeparator" w:id="0">
    <w:p w:rsidR="00442CFA" w:rsidRDefault="00442CFA" w:rsidP="00495E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78" w:rsidRDefault="00495E78">
    <w:pPr>
      <w:pStyle w:val="En-tte"/>
    </w:pPr>
    <w:r>
      <w:rPr>
        <w:noProof/>
        <w:lang w:val="fr-FR" w:eastAsia="fr-FR"/>
      </w:rPr>
      <w:drawing>
        <wp:anchor distT="0" distB="0" distL="114300" distR="114300" simplePos="0" relativeHeight="251658240" behindDoc="1" locked="0" layoutInCell="1" allowOverlap="1">
          <wp:simplePos x="0" y="0"/>
          <wp:positionH relativeFrom="column">
            <wp:posOffset>-213995</wp:posOffset>
          </wp:positionH>
          <wp:positionV relativeFrom="paragraph">
            <wp:posOffset>-211455</wp:posOffset>
          </wp:positionV>
          <wp:extent cx="541020" cy="453311"/>
          <wp:effectExtent l="0" t="0" r="0" b="4445"/>
          <wp:wrapNone/>
          <wp:docPr id="27654" name="Picture 9" descr="C:\Users\Utilisateur\Desktop\SSR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4" name="Picture 9" descr="C:\Users\Utilisateur\Desktop\SSR_LOGO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020" cy="4533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EB0"/>
    <w:multiLevelType w:val="hybridMultilevel"/>
    <w:tmpl w:val="0B9A6A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DA56AD"/>
    <w:multiLevelType w:val="hybridMultilevel"/>
    <w:tmpl w:val="C18A5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475D1A"/>
    <w:multiLevelType w:val="hybridMultilevel"/>
    <w:tmpl w:val="5804F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656D4D"/>
    <w:multiLevelType w:val="hybridMultilevel"/>
    <w:tmpl w:val="EE68B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7211A"/>
    <w:multiLevelType w:val="hybridMultilevel"/>
    <w:tmpl w:val="3ADEB3BA"/>
    <w:lvl w:ilvl="0" w:tplc="053E7E00">
      <w:start w:val="1"/>
      <w:numFmt w:val="bullet"/>
      <w:lvlText w:val="•"/>
      <w:lvlJc w:val="left"/>
      <w:pPr>
        <w:tabs>
          <w:tab w:val="num" w:pos="1068"/>
        </w:tabs>
        <w:ind w:left="1068" w:hanging="360"/>
      </w:pPr>
      <w:rPr>
        <w:rFonts w:ascii="Arial" w:hAnsi="Arial" w:cs="Times New Roman" w:hint="default"/>
      </w:rPr>
    </w:lvl>
    <w:lvl w:ilvl="1" w:tplc="3B48B54E">
      <w:start w:val="1649"/>
      <w:numFmt w:val="bullet"/>
      <w:lvlText w:val="–"/>
      <w:lvlJc w:val="left"/>
      <w:pPr>
        <w:tabs>
          <w:tab w:val="num" w:pos="1788"/>
        </w:tabs>
        <w:ind w:left="1788" w:hanging="360"/>
      </w:pPr>
      <w:rPr>
        <w:rFonts w:ascii="Arial" w:hAnsi="Arial" w:cs="Times New Roman" w:hint="default"/>
      </w:rPr>
    </w:lvl>
    <w:lvl w:ilvl="2" w:tplc="1ABAADAA">
      <w:start w:val="1"/>
      <w:numFmt w:val="bullet"/>
      <w:lvlText w:val="•"/>
      <w:lvlJc w:val="left"/>
      <w:pPr>
        <w:tabs>
          <w:tab w:val="num" w:pos="2508"/>
        </w:tabs>
        <w:ind w:left="2508" w:hanging="360"/>
      </w:pPr>
      <w:rPr>
        <w:rFonts w:ascii="Arial" w:hAnsi="Arial" w:cs="Times New Roman" w:hint="default"/>
      </w:rPr>
    </w:lvl>
    <w:lvl w:ilvl="3" w:tplc="0528431E">
      <w:start w:val="1"/>
      <w:numFmt w:val="bullet"/>
      <w:lvlText w:val="•"/>
      <w:lvlJc w:val="left"/>
      <w:pPr>
        <w:tabs>
          <w:tab w:val="num" w:pos="3228"/>
        </w:tabs>
        <w:ind w:left="3228" w:hanging="360"/>
      </w:pPr>
      <w:rPr>
        <w:rFonts w:ascii="Arial" w:hAnsi="Arial" w:cs="Times New Roman" w:hint="default"/>
      </w:rPr>
    </w:lvl>
    <w:lvl w:ilvl="4" w:tplc="470296E0">
      <w:start w:val="1"/>
      <w:numFmt w:val="bullet"/>
      <w:lvlText w:val="•"/>
      <w:lvlJc w:val="left"/>
      <w:pPr>
        <w:tabs>
          <w:tab w:val="num" w:pos="3948"/>
        </w:tabs>
        <w:ind w:left="3948" w:hanging="360"/>
      </w:pPr>
      <w:rPr>
        <w:rFonts w:ascii="Arial" w:hAnsi="Arial" w:cs="Times New Roman" w:hint="default"/>
      </w:rPr>
    </w:lvl>
    <w:lvl w:ilvl="5" w:tplc="B7EA3D68">
      <w:start w:val="1"/>
      <w:numFmt w:val="bullet"/>
      <w:lvlText w:val="•"/>
      <w:lvlJc w:val="left"/>
      <w:pPr>
        <w:tabs>
          <w:tab w:val="num" w:pos="4668"/>
        </w:tabs>
        <w:ind w:left="4668" w:hanging="360"/>
      </w:pPr>
      <w:rPr>
        <w:rFonts w:ascii="Arial" w:hAnsi="Arial" w:cs="Times New Roman" w:hint="default"/>
      </w:rPr>
    </w:lvl>
    <w:lvl w:ilvl="6" w:tplc="51B06252">
      <w:start w:val="1"/>
      <w:numFmt w:val="bullet"/>
      <w:lvlText w:val="•"/>
      <w:lvlJc w:val="left"/>
      <w:pPr>
        <w:tabs>
          <w:tab w:val="num" w:pos="5388"/>
        </w:tabs>
        <w:ind w:left="5388" w:hanging="360"/>
      </w:pPr>
      <w:rPr>
        <w:rFonts w:ascii="Arial" w:hAnsi="Arial" w:cs="Times New Roman" w:hint="default"/>
      </w:rPr>
    </w:lvl>
    <w:lvl w:ilvl="7" w:tplc="5CB6349C">
      <w:start w:val="1"/>
      <w:numFmt w:val="bullet"/>
      <w:lvlText w:val="•"/>
      <w:lvlJc w:val="left"/>
      <w:pPr>
        <w:tabs>
          <w:tab w:val="num" w:pos="6108"/>
        </w:tabs>
        <w:ind w:left="6108" w:hanging="360"/>
      </w:pPr>
      <w:rPr>
        <w:rFonts w:ascii="Arial" w:hAnsi="Arial" w:cs="Times New Roman" w:hint="default"/>
      </w:rPr>
    </w:lvl>
    <w:lvl w:ilvl="8" w:tplc="B0F67584">
      <w:start w:val="1"/>
      <w:numFmt w:val="bullet"/>
      <w:lvlText w:val="•"/>
      <w:lvlJc w:val="left"/>
      <w:pPr>
        <w:tabs>
          <w:tab w:val="num" w:pos="6828"/>
        </w:tabs>
        <w:ind w:left="6828" w:hanging="360"/>
      </w:pPr>
      <w:rPr>
        <w:rFonts w:ascii="Arial" w:hAnsi="Arial" w:cs="Times New Roman" w:hint="default"/>
      </w:rPr>
    </w:lvl>
  </w:abstractNum>
  <w:abstractNum w:abstractNumId="5" w15:restartNumberingAfterBreak="0">
    <w:nsid w:val="225301C9"/>
    <w:multiLevelType w:val="hybridMultilevel"/>
    <w:tmpl w:val="73DC4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F20BC"/>
    <w:multiLevelType w:val="hybridMultilevel"/>
    <w:tmpl w:val="F814B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848C2"/>
    <w:multiLevelType w:val="hybridMultilevel"/>
    <w:tmpl w:val="044C10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59A13BA"/>
    <w:multiLevelType w:val="hybridMultilevel"/>
    <w:tmpl w:val="203276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2827BC"/>
    <w:multiLevelType w:val="hybridMultilevel"/>
    <w:tmpl w:val="1916C7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73E7D"/>
    <w:multiLevelType w:val="hybridMultilevel"/>
    <w:tmpl w:val="3326A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A24D7D"/>
    <w:multiLevelType w:val="hybridMultilevel"/>
    <w:tmpl w:val="EF564E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241478"/>
    <w:multiLevelType w:val="hybridMultilevel"/>
    <w:tmpl w:val="02C208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1A7578D"/>
    <w:multiLevelType w:val="hybridMultilevel"/>
    <w:tmpl w:val="AE440A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2461"/>
    <w:multiLevelType w:val="hybridMultilevel"/>
    <w:tmpl w:val="C986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245444"/>
    <w:multiLevelType w:val="hybridMultilevel"/>
    <w:tmpl w:val="0DB64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F92678"/>
    <w:multiLevelType w:val="hybridMultilevel"/>
    <w:tmpl w:val="07964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9F43CE"/>
    <w:multiLevelType w:val="hybridMultilevel"/>
    <w:tmpl w:val="1668E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FB782B"/>
    <w:multiLevelType w:val="hybridMultilevel"/>
    <w:tmpl w:val="CF0C8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B7B0A20"/>
    <w:multiLevelType w:val="hybridMultilevel"/>
    <w:tmpl w:val="FCAE54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EF31B5"/>
    <w:multiLevelType w:val="hybridMultilevel"/>
    <w:tmpl w:val="558C4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A4013"/>
    <w:multiLevelType w:val="hybridMultilevel"/>
    <w:tmpl w:val="508A3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930017"/>
    <w:multiLevelType w:val="hybridMultilevel"/>
    <w:tmpl w:val="5B52C68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E262E7"/>
    <w:multiLevelType w:val="hybridMultilevel"/>
    <w:tmpl w:val="1DE2A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7"/>
  </w:num>
  <w:num w:numId="5">
    <w:abstractNumId w:val="6"/>
  </w:num>
  <w:num w:numId="6">
    <w:abstractNumId w:val="21"/>
  </w:num>
  <w:num w:numId="7">
    <w:abstractNumId w:val="4"/>
  </w:num>
  <w:num w:numId="8">
    <w:abstractNumId w:val="15"/>
  </w:num>
  <w:num w:numId="9">
    <w:abstractNumId w:val="10"/>
  </w:num>
  <w:num w:numId="10">
    <w:abstractNumId w:val="8"/>
  </w:num>
  <w:num w:numId="11">
    <w:abstractNumId w:val="16"/>
  </w:num>
  <w:num w:numId="12">
    <w:abstractNumId w:val="11"/>
  </w:num>
  <w:num w:numId="13">
    <w:abstractNumId w:val="19"/>
  </w:num>
  <w:num w:numId="14">
    <w:abstractNumId w:val="0"/>
  </w:num>
  <w:num w:numId="15">
    <w:abstractNumId w:val="22"/>
  </w:num>
  <w:num w:numId="16">
    <w:abstractNumId w:val="12"/>
  </w:num>
  <w:num w:numId="17">
    <w:abstractNumId w:val="3"/>
  </w:num>
  <w:num w:numId="18">
    <w:abstractNumId w:val="17"/>
  </w:num>
  <w:num w:numId="19">
    <w:abstractNumId w:val="9"/>
  </w:num>
  <w:num w:numId="20">
    <w:abstractNumId w:val="5"/>
  </w:num>
  <w:num w:numId="21">
    <w:abstractNumId w:val="18"/>
  </w:num>
  <w:num w:numId="22">
    <w:abstractNumId w:val="2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57"/>
    <w:rsid w:val="000F71D7"/>
    <w:rsid w:val="000F7A32"/>
    <w:rsid w:val="000F7ECC"/>
    <w:rsid w:val="00120405"/>
    <w:rsid w:val="001639EC"/>
    <w:rsid w:val="001A2E9D"/>
    <w:rsid w:val="001C3232"/>
    <w:rsid w:val="001F07E0"/>
    <w:rsid w:val="00221268"/>
    <w:rsid w:val="002E35B9"/>
    <w:rsid w:val="00317E90"/>
    <w:rsid w:val="00342AD1"/>
    <w:rsid w:val="0038549B"/>
    <w:rsid w:val="003B70DF"/>
    <w:rsid w:val="00427E38"/>
    <w:rsid w:val="00442308"/>
    <w:rsid w:val="00442CFA"/>
    <w:rsid w:val="00495E78"/>
    <w:rsid w:val="004A5D7C"/>
    <w:rsid w:val="004D7DF9"/>
    <w:rsid w:val="004E0405"/>
    <w:rsid w:val="0050175A"/>
    <w:rsid w:val="005130FB"/>
    <w:rsid w:val="0051593A"/>
    <w:rsid w:val="00534448"/>
    <w:rsid w:val="00540ACA"/>
    <w:rsid w:val="005471DF"/>
    <w:rsid w:val="00560480"/>
    <w:rsid w:val="005B6A89"/>
    <w:rsid w:val="005E0EB4"/>
    <w:rsid w:val="00604FA1"/>
    <w:rsid w:val="00625EFB"/>
    <w:rsid w:val="00626E7D"/>
    <w:rsid w:val="006570C4"/>
    <w:rsid w:val="00716773"/>
    <w:rsid w:val="007505C3"/>
    <w:rsid w:val="00783EB7"/>
    <w:rsid w:val="00793094"/>
    <w:rsid w:val="007E4826"/>
    <w:rsid w:val="00815F27"/>
    <w:rsid w:val="00831EA2"/>
    <w:rsid w:val="008660C4"/>
    <w:rsid w:val="008765E1"/>
    <w:rsid w:val="008B7838"/>
    <w:rsid w:val="008C089A"/>
    <w:rsid w:val="008C6AD4"/>
    <w:rsid w:val="008E495B"/>
    <w:rsid w:val="00981E09"/>
    <w:rsid w:val="009E0008"/>
    <w:rsid w:val="009E26D4"/>
    <w:rsid w:val="00A309A7"/>
    <w:rsid w:val="00A53E52"/>
    <w:rsid w:val="00A549BC"/>
    <w:rsid w:val="00A7360B"/>
    <w:rsid w:val="00AB36B5"/>
    <w:rsid w:val="00AB6045"/>
    <w:rsid w:val="00AB7997"/>
    <w:rsid w:val="00AD038C"/>
    <w:rsid w:val="00AD4817"/>
    <w:rsid w:val="00AE387D"/>
    <w:rsid w:val="00B00B22"/>
    <w:rsid w:val="00B16872"/>
    <w:rsid w:val="00B56AA5"/>
    <w:rsid w:val="00B71FA8"/>
    <w:rsid w:val="00BC511D"/>
    <w:rsid w:val="00BD4536"/>
    <w:rsid w:val="00BF5F63"/>
    <w:rsid w:val="00C1540E"/>
    <w:rsid w:val="00C54CF4"/>
    <w:rsid w:val="00C95064"/>
    <w:rsid w:val="00CA4434"/>
    <w:rsid w:val="00CC332B"/>
    <w:rsid w:val="00D1395D"/>
    <w:rsid w:val="00D32798"/>
    <w:rsid w:val="00D91377"/>
    <w:rsid w:val="00DC408C"/>
    <w:rsid w:val="00DE4F57"/>
    <w:rsid w:val="00E413C9"/>
    <w:rsid w:val="00E56ED9"/>
    <w:rsid w:val="00E825FA"/>
    <w:rsid w:val="00EA141B"/>
    <w:rsid w:val="00EA63CA"/>
    <w:rsid w:val="00EB5103"/>
    <w:rsid w:val="00EF26D3"/>
    <w:rsid w:val="00F34015"/>
    <w:rsid w:val="00F42BDE"/>
    <w:rsid w:val="00F75573"/>
    <w:rsid w:val="00FF4A7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C51C0-09F0-4217-B2C0-25C95B38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6D4"/>
    <w:pPr>
      <w:ind w:left="720"/>
      <w:contextualSpacing/>
    </w:pPr>
  </w:style>
  <w:style w:type="character" w:styleId="Marquedecommentaire">
    <w:name w:val="annotation reference"/>
    <w:basedOn w:val="Policepardfaut"/>
    <w:uiPriority w:val="99"/>
    <w:semiHidden/>
    <w:unhideWhenUsed/>
    <w:rsid w:val="00FF4A73"/>
    <w:rPr>
      <w:sz w:val="16"/>
      <w:szCs w:val="16"/>
    </w:rPr>
  </w:style>
  <w:style w:type="paragraph" w:styleId="Commentaire">
    <w:name w:val="annotation text"/>
    <w:basedOn w:val="Normal"/>
    <w:link w:val="CommentaireCar"/>
    <w:uiPriority w:val="99"/>
    <w:semiHidden/>
    <w:unhideWhenUsed/>
    <w:rsid w:val="00FF4A73"/>
    <w:rPr>
      <w:sz w:val="20"/>
      <w:szCs w:val="20"/>
    </w:rPr>
  </w:style>
  <w:style w:type="character" w:customStyle="1" w:styleId="CommentaireCar">
    <w:name w:val="Commentaire Car"/>
    <w:basedOn w:val="Policepardfaut"/>
    <w:link w:val="Commentaire"/>
    <w:uiPriority w:val="99"/>
    <w:semiHidden/>
    <w:rsid w:val="00FF4A73"/>
    <w:rPr>
      <w:sz w:val="20"/>
      <w:szCs w:val="20"/>
    </w:rPr>
  </w:style>
  <w:style w:type="paragraph" w:styleId="Objetducommentaire">
    <w:name w:val="annotation subject"/>
    <w:basedOn w:val="Commentaire"/>
    <w:next w:val="Commentaire"/>
    <w:link w:val="ObjetducommentaireCar"/>
    <w:uiPriority w:val="99"/>
    <w:semiHidden/>
    <w:unhideWhenUsed/>
    <w:rsid w:val="00FF4A73"/>
    <w:rPr>
      <w:b/>
      <w:bCs/>
    </w:rPr>
  </w:style>
  <w:style w:type="character" w:customStyle="1" w:styleId="ObjetducommentaireCar">
    <w:name w:val="Objet du commentaire Car"/>
    <w:basedOn w:val="CommentaireCar"/>
    <w:link w:val="Objetducommentaire"/>
    <w:uiPriority w:val="99"/>
    <w:semiHidden/>
    <w:rsid w:val="00FF4A73"/>
    <w:rPr>
      <w:b/>
      <w:bCs/>
      <w:sz w:val="20"/>
      <w:szCs w:val="20"/>
    </w:rPr>
  </w:style>
  <w:style w:type="paragraph" w:styleId="Textedebulles">
    <w:name w:val="Balloon Text"/>
    <w:basedOn w:val="Normal"/>
    <w:link w:val="TextedebullesCar"/>
    <w:uiPriority w:val="99"/>
    <w:semiHidden/>
    <w:unhideWhenUsed/>
    <w:rsid w:val="00FF4A7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A73"/>
    <w:rPr>
      <w:rFonts w:ascii="Tahoma" w:hAnsi="Tahoma" w:cs="Tahoma"/>
      <w:sz w:val="16"/>
      <w:szCs w:val="16"/>
    </w:rPr>
  </w:style>
  <w:style w:type="paragraph" w:styleId="En-tte">
    <w:name w:val="header"/>
    <w:basedOn w:val="Normal"/>
    <w:link w:val="En-tteCar"/>
    <w:uiPriority w:val="99"/>
    <w:unhideWhenUsed/>
    <w:rsid w:val="00495E78"/>
    <w:pPr>
      <w:tabs>
        <w:tab w:val="center" w:pos="4536"/>
        <w:tab w:val="right" w:pos="9072"/>
      </w:tabs>
      <w:spacing w:after="0"/>
    </w:pPr>
  </w:style>
  <w:style w:type="character" w:customStyle="1" w:styleId="En-tteCar">
    <w:name w:val="En-tête Car"/>
    <w:basedOn w:val="Policepardfaut"/>
    <w:link w:val="En-tte"/>
    <w:uiPriority w:val="99"/>
    <w:rsid w:val="00495E78"/>
  </w:style>
  <w:style w:type="paragraph" w:styleId="Pieddepage">
    <w:name w:val="footer"/>
    <w:basedOn w:val="Normal"/>
    <w:link w:val="PieddepageCar"/>
    <w:uiPriority w:val="99"/>
    <w:unhideWhenUsed/>
    <w:rsid w:val="00495E78"/>
    <w:pPr>
      <w:tabs>
        <w:tab w:val="center" w:pos="4536"/>
        <w:tab w:val="right" w:pos="9072"/>
      </w:tabs>
      <w:spacing w:after="0"/>
    </w:pPr>
  </w:style>
  <w:style w:type="character" w:customStyle="1" w:styleId="PieddepageCar">
    <w:name w:val="Pied de page Car"/>
    <w:basedOn w:val="Policepardfaut"/>
    <w:link w:val="Pieddepage"/>
    <w:uiPriority w:val="99"/>
    <w:rsid w:val="0049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932</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CSSR</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VANNIER</dc:creator>
  <cp:lastModifiedBy>ericnoel</cp:lastModifiedBy>
  <cp:revision>10</cp:revision>
  <cp:lastPrinted>2015-06-17T15:34:00Z</cp:lastPrinted>
  <dcterms:created xsi:type="dcterms:W3CDTF">2016-12-12T18:33:00Z</dcterms:created>
  <dcterms:modified xsi:type="dcterms:W3CDTF">2016-12-13T08:49:00Z</dcterms:modified>
</cp:coreProperties>
</file>