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815"/>
        <w:gridCol w:w="5443"/>
        <w:gridCol w:w="1814"/>
      </w:tblGrid>
      <w:tr w:rsidR="00B90DFC" w:rsidRPr="00B90DFC" w:rsidTr="00B90DFC">
        <w:trPr>
          <w:tblCellSpacing w:w="0" w:type="dxa"/>
        </w:trPr>
        <w:tc>
          <w:tcPr>
            <w:tcW w:w="1000" w:type="pct"/>
            <w:hideMark/>
          </w:tcPr>
          <w:p w:rsidR="00B90DFC" w:rsidRPr="00B90DFC" w:rsidRDefault="00B90DFC" w:rsidP="00B90DF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noProof/>
                <w:sz w:val="24"/>
                <w:szCs w:val="24"/>
                <w:lang w:eastAsia="fr-FR"/>
              </w:rPr>
              <w:drawing>
                <wp:inline distT="0" distB="0" distL="0" distR="0" wp14:anchorId="5FB8A4FF" wp14:editId="4AFD10CA">
                  <wp:extent cx="693420" cy="693420"/>
                  <wp:effectExtent l="0" t="0" r="0" b="0"/>
                  <wp:docPr id="1" name="Image 1" descr="Logo : Sénat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Sénat frança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p w:rsidR="00B90DFC" w:rsidRPr="00B90DFC" w:rsidRDefault="00B90DFC" w:rsidP="00B90DF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b/>
                <w:bCs/>
                <w:sz w:val="24"/>
                <w:szCs w:val="24"/>
                <w:lang w:eastAsia="fr-FR"/>
              </w:rPr>
              <w:t>Direction de la séance</w:t>
            </w:r>
          </w:p>
        </w:tc>
        <w:tc>
          <w:tcPr>
            <w:tcW w:w="3000" w:type="pct"/>
            <w:hideMark/>
          </w:tcPr>
          <w:p w:rsidR="00B90DFC" w:rsidRPr="00B90DFC" w:rsidRDefault="00B90DFC" w:rsidP="00B90DF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b/>
                <w:bCs/>
                <w:sz w:val="24"/>
                <w:szCs w:val="24"/>
                <w:lang w:eastAsia="fr-FR"/>
              </w:rPr>
              <w:t>Projet de loi</w:t>
            </w:r>
          </w:p>
          <w:p w:rsidR="00B90DFC" w:rsidRPr="00B90DFC" w:rsidRDefault="00B90DFC" w:rsidP="00B90DF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b/>
                <w:bCs/>
                <w:sz w:val="24"/>
                <w:szCs w:val="24"/>
                <w:lang w:eastAsia="fr-FR"/>
              </w:rPr>
              <w:t>Financement de la sécurité sociale pour 2017</w:t>
            </w:r>
          </w:p>
          <w:p w:rsidR="00B90DFC" w:rsidRPr="00B90DFC" w:rsidRDefault="00B90DFC" w:rsidP="00B90DF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t>(1ère lecture)</w:t>
            </w:r>
          </w:p>
          <w:p w:rsidR="00B90DFC" w:rsidRPr="00B90DFC" w:rsidRDefault="00B90DFC" w:rsidP="00B90DF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t>(n° </w:t>
            </w:r>
            <w:proofErr w:type="gramStart"/>
            <w:r w:rsidRPr="00B90DFC">
              <w:rPr>
                <w:rFonts w:ascii="Times New Roman" w:eastAsia="Times New Roman" w:hAnsi="Times New Roman" w:cs="Times New Roman"/>
                <w:sz w:val="24"/>
                <w:szCs w:val="24"/>
                <w:lang w:eastAsia="fr-FR"/>
              </w:rPr>
              <w:t>106 ,</w:t>
            </w:r>
            <w:proofErr w:type="gramEnd"/>
            <w:r w:rsidRPr="00B90DFC">
              <w:rPr>
                <w:rFonts w:ascii="Times New Roman" w:eastAsia="Times New Roman" w:hAnsi="Times New Roman" w:cs="Times New Roman"/>
                <w:sz w:val="24"/>
                <w:szCs w:val="24"/>
                <w:lang w:eastAsia="fr-FR"/>
              </w:rPr>
              <w:t xml:space="preserve"> 114 , 108) </w:t>
            </w:r>
          </w:p>
        </w:tc>
        <w:tc>
          <w:tcPr>
            <w:tcW w:w="1000" w:type="pct"/>
            <w:vAlign w:val="center"/>
            <w:hideMark/>
          </w:tcPr>
          <w:p w:rsidR="00B90DFC" w:rsidRPr="00B90DFC" w:rsidRDefault="00B90DFC" w:rsidP="00B90DF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b/>
                <w:bCs/>
                <w:sz w:val="24"/>
                <w:szCs w:val="24"/>
                <w:lang w:eastAsia="fr-FR"/>
              </w:rPr>
              <w:t xml:space="preserve">N° 172 </w:t>
            </w:r>
            <w:proofErr w:type="spellStart"/>
            <w:r w:rsidRPr="00B90DFC">
              <w:rPr>
                <w:rFonts w:ascii="Times New Roman" w:eastAsia="Times New Roman" w:hAnsi="Times New Roman" w:cs="Times New Roman"/>
                <w:b/>
                <w:bCs/>
                <w:sz w:val="24"/>
                <w:szCs w:val="24"/>
                <w:lang w:eastAsia="fr-FR"/>
              </w:rPr>
              <w:t>rect</w:t>
            </w:r>
            <w:proofErr w:type="spellEnd"/>
            <w:r w:rsidRPr="00B90DFC">
              <w:rPr>
                <w:rFonts w:ascii="Times New Roman" w:eastAsia="Times New Roman" w:hAnsi="Times New Roman" w:cs="Times New Roman"/>
                <w:b/>
                <w:bCs/>
                <w:sz w:val="24"/>
                <w:szCs w:val="24"/>
                <w:lang w:eastAsia="fr-FR"/>
              </w:rPr>
              <w:t>. ter</w:t>
            </w:r>
          </w:p>
          <w:p w:rsidR="00B90DFC" w:rsidRPr="00B90DFC" w:rsidRDefault="00B90DFC" w:rsidP="00B90DF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t>15 novembre 2016</w:t>
            </w:r>
          </w:p>
        </w:tc>
      </w:tr>
    </w:tbl>
    <w:p w:rsidR="00B90DFC" w:rsidRPr="00B90DFC" w:rsidRDefault="00B90DFC" w:rsidP="00B90DFC">
      <w:pPr>
        <w:spacing w:after="0" w:line="240" w:lineRule="auto"/>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pict>
          <v:rect id="_x0000_i1025" style="width:453.6pt;height:.6pt" o:hralign="center" o:hrstd="t" o:hrnoshade="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1813"/>
        <w:gridCol w:w="5440"/>
        <w:gridCol w:w="6"/>
        <w:gridCol w:w="1813"/>
      </w:tblGrid>
      <w:tr w:rsidR="00B90DFC" w:rsidRPr="00B90DFC" w:rsidTr="00B90DFC">
        <w:trPr>
          <w:tblCellSpacing w:w="0" w:type="dxa"/>
        </w:trPr>
        <w:tc>
          <w:tcPr>
            <w:tcW w:w="1000" w:type="pct"/>
            <w:vAlign w:val="center"/>
            <w:hideMark/>
          </w:tcPr>
          <w:p w:rsidR="00B90DFC" w:rsidRPr="00B90DFC" w:rsidRDefault="00B90DFC" w:rsidP="00B90DFC">
            <w:pPr>
              <w:spacing w:after="0" w:line="240" w:lineRule="auto"/>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t xml:space="preserve">  </w:t>
            </w:r>
          </w:p>
        </w:tc>
        <w:tc>
          <w:tcPr>
            <w:tcW w:w="3000" w:type="pct"/>
            <w:hideMark/>
          </w:tcPr>
          <w:p w:rsidR="00B90DFC" w:rsidRPr="00B90DFC" w:rsidRDefault="00B90DFC" w:rsidP="00B90DF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B90DFC">
              <w:rPr>
                <w:rFonts w:ascii="Times New Roman" w:eastAsia="Times New Roman" w:hAnsi="Times New Roman" w:cs="Times New Roman"/>
                <w:b/>
                <w:bCs/>
                <w:kern w:val="36"/>
                <w:sz w:val="48"/>
                <w:szCs w:val="48"/>
                <w:lang w:eastAsia="fr-FR"/>
              </w:rPr>
              <w:t>AMENDEMENT</w:t>
            </w:r>
          </w:p>
          <w:p w:rsidR="00B90DFC" w:rsidRPr="00B90DFC" w:rsidRDefault="00B90DFC" w:rsidP="00B90DF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i/>
                <w:iCs/>
                <w:sz w:val="24"/>
                <w:szCs w:val="24"/>
                <w:lang w:eastAsia="fr-FR"/>
              </w:rPr>
              <w:t>présenté par</w:t>
            </w:r>
          </w:p>
        </w:tc>
        <w:tc>
          <w:tcPr>
            <w:tcW w:w="0" w:type="auto"/>
            <w:vAlign w:val="center"/>
            <w:hideMark/>
          </w:tcPr>
          <w:p w:rsidR="00B90DFC" w:rsidRPr="00B90DFC" w:rsidRDefault="00B90DFC" w:rsidP="00B90DFC">
            <w:pPr>
              <w:spacing w:after="0" w:line="240" w:lineRule="auto"/>
              <w:rPr>
                <w:rFonts w:ascii="Times New Roman" w:eastAsia="Times New Roman" w:hAnsi="Times New Roman" w:cs="Times New Roman"/>
                <w:sz w:val="24"/>
                <w:szCs w:val="24"/>
                <w:lang w:eastAsia="fr-FR"/>
              </w:rPr>
            </w:pPr>
          </w:p>
        </w:tc>
        <w:tc>
          <w:tcPr>
            <w:tcW w:w="1000" w:type="pct"/>
            <w:hideMark/>
          </w:tcPr>
          <w:tbl>
            <w:tblPr>
              <w:tblW w:w="4000" w:type="pct"/>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65"/>
              <w:gridCol w:w="1264"/>
            </w:tblGrid>
            <w:tr w:rsidR="00B90DFC" w:rsidRPr="00B90DFC">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B90DFC" w:rsidRPr="00B90DFC" w:rsidRDefault="00B90DFC" w:rsidP="00B90DFC">
                  <w:pPr>
                    <w:spacing w:after="0"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b/>
                      <w:bCs/>
                      <w:sz w:val="24"/>
                      <w:szCs w:val="24"/>
                      <w:lang w:eastAsia="fr-FR"/>
                    </w:rPr>
                    <w:t>C</w:t>
                  </w:r>
                  <w:r w:rsidRPr="00B90DFC">
                    <w:rPr>
                      <w:rFonts w:ascii="Times New Roman" w:eastAsia="Times New Roman" w:hAnsi="Times New Roman" w:cs="Times New Roman"/>
                      <w:sz w:val="24"/>
                      <w:szCs w:val="24"/>
                      <w:lang w:eastAsia="fr-FR"/>
                    </w:rPr>
                    <w:t xml:space="preserve"> </w:t>
                  </w:r>
                </w:p>
              </w:tc>
              <w:tc>
                <w:tcPr>
                  <w:tcW w:w="3500" w:type="pct"/>
                  <w:tcBorders>
                    <w:top w:val="outset" w:sz="6" w:space="0" w:color="auto"/>
                    <w:left w:val="outset" w:sz="6" w:space="0" w:color="auto"/>
                    <w:bottom w:val="outset" w:sz="6" w:space="0" w:color="auto"/>
                    <w:right w:val="outset" w:sz="6" w:space="0" w:color="auto"/>
                  </w:tcBorders>
                  <w:hideMark/>
                </w:tcPr>
                <w:p w:rsidR="00B90DFC" w:rsidRPr="00B90DFC" w:rsidRDefault="00B90DFC" w:rsidP="00B90DFC">
                  <w:pPr>
                    <w:spacing w:after="0" w:line="240" w:lineRule="auto"/>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t xml:space="preserve">Défavorable </w:t>
                  </w:r>
                </w:p>
              </w:tc>
            </w:tr>
            <w:tr w:rsidR="00B90DFC" w:rsidRPr="00B90DFC">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B90DFC" w:rsidRPr="00B90DFC" w:rsidRDefault="00B90DFC" w:rsidP="00B90DFC">
                  <w:pPr>
                    <w:spacing w:after="0"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b/>
                      <w:bCs/>
                      <w:sz w:val="24"/>
                      <w:szCs w:val="24"/>
                      <w:lang w:eastAsia="fr-FR"/>
                    </w:rPr>
                    <w:t>G</w:t>
                  </w:r>
                  <w:r w:rsidRPr="00B90DFC">
                    <w:rPr>
                      <w:rFonts w:ascii="Times New Roman" w:eastAsia="Times New Roman" w:hAnsi="Times New Roman" w:cs="Times New Roman"/>
                      <w:sz w:val="24"/>
                      <w:szCs w:val="24"/>
                      <w:lang w:eastAsia="fr-FR"/>
                    </w:rPr>
                    <w:t xml:space="preserve"> </w:t>
                  </w:r>
                </w:p>
              </w:tc>
              <w:tc>
                <w:tcPr>
                  <w:tcW w:w="3500" w:type="pct"/>
                  <w:tcBorders>
                    <w:top w:val="outset" w:sz="6" w:space="0" w:color="auto"/>
                    <w:left w:val="outset" w:sz="6" w:space="0" w:color="auto"/>
                    <w:bottom w:val="outset" w:sz="6" w:space="0" w:color="auto"/>
                    <w:right w:val="outset" w:sz="6" w:space="0" w:color="auto"/>
                  </w:tcBorders>
                  <w:hideMark/>
                </w:tcPr>
                <w:p w:rsidR="00B90DFC" w:rsidRPr="00B90DFC" w:rsidRDefault="00B90DFC" w:rsidP="00B90DFC">
                  <w:pPr>
                    <w:spacing w:after="0" w:line="240" w:lineRule="auto"/>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t xml:space="preserve">  </w:t>
                  </w:r>
                </w:p>
              </w:tc>
            </w:tr>
          </w:tbl>
          <w:p w:rsidR="00B90DFC" w:rsidRPr="00B90DFC" w:rsidRDefault="00B90DFC" w:rsidP="00B90DFC">
            <w:pPr>
              <w:spacing w:after="0" w:line="240" w:lineRule="auto"/>
              <w:rPr>
                <w:rFonts w:ascii="Times New Roman" w:eastAsia="Times New Roman" w:hAnsi="Times New Roman" w:cs="Times New Roman"/>
                <w:sz w:val="24"/>
                <w:szCs w:val="24"/>
                <w:lang w:eastAsia="fr-FR"/>
              </w:rPr>
            </w:pPr>
          </w:p>
        </w:tc>
      </w:tr>
      <w:tr w:rsidR="00B90DFC" w:rsidRPr="00B90DFC" w:rsidTr="00B90DFC">
        <w:trPr>
          <w:tblCellSpacing w:w="0" w:type="dxa"/>
        </w:trPr>
        <w:tc>
          <w:tcPr>
            <w:tcW w:w="0" w:type="auto"/>
            <w:gridSpan w:val="4"/>
            <w:vAlign w:val="center"/>
            <w:hideMark/>
          </w:tcPr>
          <w:p w:rsidR="00B90DFC" w:rsidRPr="00B90DFC" w:rsidRDefault="00B90DFC" w:rsidP="00B90DF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t>Mme DOINEAU, MM. LUCHE, MÉDEVIELLE et CIGOLOTTI, Mme N. GOULET, MM. CANEVET et LONGEOT, Mme GATEL et MM. MARSEILLE, ROCHE, NAMY et GABOUTY</w:t>
            </w:r>
          </w:p>
          <w:p w:rsidR="00B90DFC" w:rsidRPr="00B90DFC" w:rsidRDefault="00B90DFC" w:rsidP="00B90DFC">
            <w:pPr>
              <w:spacing w:after="0" w:line="240" w:lineRule="auto"/>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pict>
                <v:rect id="_x0000_i1026" style="width:136.1pt;height:.6pt" o:hrpct="300" o:hralign="center" o:hrstd="t" o:hrnoshade="t" o:hr="t" fillcolor="#a0a0a0" stroked="f"/>
              </w:pict>
            </w:r>
          </w:p>
          <w:p w:rsidR="00B90DFC" w:rsidRPr="00B90DFC" w:rsidRDefault="00B90DFC" w:rsidP="00B90DF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b/>
                <w:bCs/>
                <w:sz w:val="24"/>
                <w:szCs w:val="24"/>
                <w:u w:val="single"/>
                <w:lang w:eastAsia="fr-FR"/>
              </w:rPr>
              <w:t>ARTICLE 44 BIS</w:t>
            </w:r>
          </w:p>
        </w:tc>
      </w:tr>
    </w:tbl>
    <w:p w:rsidR="00B90DFC" w:rsidRPr="00B90DFC" w:rsidRDefault="00B90DFC" w:rsidP="00B90DFC">
      <w:pPr>
        <w:spacing w:after="0" w:line="240" w:lineRule="auto"/>
        <w:rPr>
          <w:rFonts w:ascii="Times New Roman" w:eastAsia="Times New Roman" w:hAnsi="Times New Roman" w:cs="Times New Roman"/>
          <w:sz w:val="24"/>
          <w:szCs w:val="24"/>
          <w:lang w:eastAsia="fr-FR"/>
        </w:rPr>
      </w:pPr>
    </w:p>
    <w:p w:rsidR="00B90DFC" w:rsidRPr="00B90DFC" w:rsidRDefault="00B90DFC" w:rsidP="00B90DFC">
      <w:pPr>
        <w:spacing w:before="100" w:beforeAutospacing="1" w:after="100" w:afterAutospacing="1" w:line="240" w:lineRule="auto"/>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t>Alinéa 2</w:t>
      </w:r>
    </w:p>
    <w:p w:rsidR="00B90DFC" w:rsidRPr="00B90DFC" w:rsidRDefault="00B90DFC" w:rsidP="00B90DFC">
      <w:pPr>
        <w:spacing w:before="100" w:beforeAutospacing="1" w:after="100" w:afterAutospacing="1" w:line="240" w:lineRule="auto"/>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t>Après les mots :</w:t>
      </w:r>
    </w:p>
    <w:p w:rsidR="00B90DFC" w:rsidRPr="00B90DFC" w:rsidRDefault="00B90DFC" w:rsidP="00B90DFC">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90DFC">
        <w:rPr>
          <w:rFonts w:ascii="Times New Roman" w:eastAsia="Times New Roman" w:hAnsi="Times New Roman" w:cs="Times New Roman"/>
          <w:sz w:val="24"/>
          <w:szCs w:val="24"/>
          <w:lang w:eastAsia="fr-FR"/>
        </w:rPr>
        <w:t>prescription</w:t>
      </w:r>
      <w:proofErr w:type="gramEnd"/>
      <w:r w:rsidRPr="00B90DFC">
        <w:rPr>
          <w:rFonts w:ascii="Times New Roman" w:eastAsia="Times New Roman" w:hAnsi="Times New Roman" w:cs="Times New Roman"/>
          <w:sz w:val="24"/>
          <w:szCs w:val="24"/>
          <w:lang w:eastAsia="fr-FR"/>
        </w:rPr>
        <w:t xml:space="preserve"> de transport</w:t>
      </w:r>
    </w:p>
    <w:p w:rsidR="00B90DFC" w:rsidRPr="00B90DFC" w:rsidRDefault="00B90DFC" w:rsidP="00B90DFC">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90DFC">
        <w:rPr>
          <w:rFonts w:ascii="Times New Roman" w:eastAsia="Times New Roman" w:hAnsi="Times New Roman" w:cs="Times New Roman"/>
          <w:sz w:val="24"/>
          <w:szCs w:val="24"/>
          <w:lang w:eastAsia="fr-FR"/>
        </w:rPr>
        <w:t>insérer</w:t>
      </w:r>
      <w:proofErr w:type="gramEnd"/>
      <w:r w:rsidRPr="00B90DFC">
        <w:rPr>
          <w:rFonts w:ascii="Times New Roman" w:eastAsia="Times New Roman" w:hAnsi="Times New Roman" w:cs="Times New Roman"/>
          <w:sz w:val="24"/>
          <w:szCs w:val="24"/>
          <w:lang w:eastAsia="fr-FR"/>
        </w:rPr>
        <w:t xml:space="preserve"> les mots :</w:t>
      </w:r>
    </w:p>
    <w:p w:rsidR="00B90DFC" w:rsidRPr="00B90DFC" w:rsidRDefault="00B90DFC" w:rsidP="00B90DFC">
      <w:pPr>
        <w:spacing w:before="100" w:beforeAutospacing="1" w:after="100" w:afterAutospacing="1" w:line="240" w:lineRule="auto"/>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t>, à l’exception de ceux réalisés par les structures mobiles d’urgence et de réanimation et ceux relatifs aux transferts de moins de quarante-huit heures</w:t>
      </w:r>
    </w:p>
    <w:p w:rsidR="00B90DFC" w:rsidRPr="00B90DFC" w:rsidRDefault="00B90DFC" w:rsidP="00B90DF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90DFC">
        <w:rPr>
          <w:rFonts w:ascii="Times New Roman" w:eastAsia="Times New Roman" w:hAnsi="Times New Roman" w:cs="Times New Roman"/>
          <w:b/>
          <w:bCs/>
          <w:sz w:val="24"/>
          <w:szCs w:val="24"/>
          <w:u w:val="single"/>
          <w:lang w:eastAsia="fr-FR"/>
        </w:rPr>
        <w:t>Objet</w:t>
      </w:r>
      <w:r w:rsidRPr="00B90DFC">
        <w:rPr>
          <w:rFonts w:ascii="Times New Roman" w:eastAsia="Times New Roman" w:hAnsi="Times New Roman" w:cs="Times New Roman"/>
          <w:sz w:val="24"/>
          <w:szCs w:val="24"/>
          <w:lang w:eastAsia="fr-FR"/>
        </w:rPr>
        <w:t xml:space="preserve"> </w:t>
      </w:r>
    </w:p>
    <w:p w:rsidR="00B90DFC" w:rsidRPr="00B90DFC" w:rsidRDefault="00B90DFC" w:rsidP="00B90DFC">
      <w:pPr>
        <w:spacing w:before="100" w:beforeAutospacing="1" w:after="100" w:afterAutospacing="1" w:line="240" w:lineRule="auto"/>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t>Cet article inquiète fortement les établissements de santé. Il prévoit que les transports réalisés au sein d’un même établissement de santé ou entre deux établissements de santé soient pris en charge par l’établissement à l’origine de la prescription de transport et sont inclus dans les tarifs des prestations mentionnés au 1° des articles L. 162-22-1 et L. 162-22-6 et à l’article L. 162-23-1 ou dans la dotation mentionnée à l’article L. 174-1. </w:t>
      </w:r>
    </w:p>
    <w:p w:rsidR="00B90DFC" w:rsidRPr="00B90DFC" w:rsidRDefault="00B90DFC" w:rsidP="00B90DFC">
      <w:pPr>
        <w:spacing w:before="100" w:beforeAutospacing="1" w:after="100" w:afterAutospacing="1" w:line="240" w:lineRule="auto"/>
        <w:rPr>
          <w:rFonts w:ascii="Times New Roman" w:eastAsia="Times New Roman" w:hAnsi="Times New Roman" w:cs="Times New Roman"/>
          <w:sz w:val="24"/>
          <w:szCs w:val="24"/>
          <w:lang w:eastAsia="fr-FR"/>
        </w:rPr>
      </w:pPr>
      <w:r w:rsidRPr="00B90DFC">
        <w:rPr>
          <w:rFonts w:ascii="Times New Roman" w:eastAsia="Times New Roman" w:hAnsi="Times New Roman" w:cs="Times New Roman"/>
          <w:sz w:val="24"/>
          <w:szCs w:val="24"/>
          <w:lang w:eastAsia="fr-FR"/>
        </w:rPr>
        <w:t>Cet amendement propose d'exclure de ce nouveau mécanisme de financement les transports inter-établissements, réalisés dans le cadre de l’urgence (SMUR; la rédaction actuelle de l'article ne l'explicitait pas clairement), mais également, dans l'intérêt des patients, les « transports secondaires provisoires » c'est-à-dire réalisés pour les transferts d’une durée de moins de 48 heures. </w:t>
      </w:r>
    </w:p>
    <w:p w:rsidR="004E64AC" w:rsidRDefault="00B90DFC" w:rsidP="00B90DFC">
      <w:pPr>
        <w:spacing w:before="100" w:beforeAutospacing="1" w:after="100" w:afterAutospacing="1" w:line="240" w:lineRule="auto"/>
      </w:pPr>
      <w:r w:rsidRPr="00B90DFC">
        <w:rPr>
          <w:rFonts w:ascii="Times New Roman" w:eastAsia="Times New Roman" w:hAnsi="Times New Roman" w:cs="Times New Roman"/>
          <w:sz w:val="24"/>
          <w:szCs w:val="24"/>
          <w:lang w:eastAsia="fr-FR"/>
        </w:rPr>
        <w:t>Ces transferts sont, d'une part, soumis à des règles spécifiques de facturation, et d'autre part, difficiles à quantifier. Il convient donc de les exclure. </w:t>
      </w:r>
      <w:bookmarkStart w:id="0" w:name="_GoBack"/>
      <w:bookmarkEnd w:id="0"/>
      <w:r w:rsidRPr="00B90DFC">
        <w:rPr>
          <w:rFonts w:ascii="Times New Roman" w:eastAsia="Times New Roman" w:hAnsi="Times New Roman" w:cs="Times New Roman"/>
          <w:sz w:val="24"/>
          <w:szCs w:val="24"/>
          <w:lang w:eastAsia="fr-FR"/>
        </w:rPr>
        <w:br/>
      </w:r>
      <w:r w:rsidRPr="00B90DFC">
        <w:rPr>
          <w:rFonts w:ascii="Times New Roman" w:eastAsia="Times New Roman" w:hAnsi="Times New Roman" w:cs="Times New Roman"/>
          <w:sz w:val="24"/>
          <w:szCs w:val="24"/>
          <w:lang w:eastAsia="fr-FR"/>
        </w:rPr>
        <w:br/>
      </w:r>
    </w:p>
    <w:sectPr w:rsidR="004E6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FC"/>
    <w:rsid w:val="004E64AC"/>
    <w:rsid w:val="00B90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ADF75-707D-4B0F-B8F8-7E1A4E5E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72288">
      <w:bodyDiv w:val="1"/>
      <w:marLeft w:val="0"/>
      <w:marRight w:val="0"/>
      <w:marTop w:val="0"/>
      <w:marBottom w:val="0"/>
      <w:divBdr>
        <w:top w:val="none" w:sz="0" w:space="0" w:color="auto"/>
        <w:left w:val="none" w:sz="0" w:space="0" w:color="auto"/>
        <w:bottom w:val="none" w:sz="0" w:space="0" w:color="auto"/>
        <w:right w:val="none" w:sz="0" w:space="0" w:color="auto"/>
      </w:divBdr>
      <w:divsChild>
        <w:div w:id="1017082405">
          <w:marLeft w:val="0"/>
          <w:marRight w:val="0"/>
          <w:marTop w:val="0"/>
          <w:marBottom w:val="0"/>
          <w:divBdr>
            <w:top w:val="none" w:sz="0" w:space="0" w:color="auto"/>
            <w:left w:val="none" w:sz="0" w:space="0" w:color="auto"/>
            <w:bottom w:val="none" w:sz="0" w:space="0" w:color="auto"/>
            <w:right w:val="none" w:sz="0" w:space="0" w:color="auto"/>
          </w:divBdr>
          <w:divsChild>
            <w:div w:id="1527208735">
              <w:marLeft w:val="0"/>
              <w:marRight w:val="0"/>
              <w:marTop w:val="0"/>
              <w:marBottom w:val="0"/>
              <w:divBdr>
                <w:top w:val="none" w:sz="0" w:space="0" w:color="auto"/>
                <w:left w:val="none" w:sz="0" w:space="0" w:color="auto"/>
                <w:bottom w:val="none" w:sz="0" w:space="0" w:color="auto"/>
                <w:right w:val="none" w:sz="0" w:space="0" w:color="auto"/>
              </w:divBdr>
            </w:div>
            <w:div w:id="375542718">
              <w:marLeft w:val="0"/>
              <w:marRight w:val="0"/>
              <w:marTop w:val="0"/>
              <w:marBottom w:val="0"/>
              <w:divBdr>
                <w:top w:val="none" w:sz="0" w:space="0" w:color="auto"/>
                <w:left w:val="none" w:sz="0" w:space="0" w:color="auto"/>
                <w:bottom w:val="none" w:sz="0" w:space="0" w:color="auto"/>
                <w:right w:val="none" w:sz="0" w:space="0" w:color="auto"/>
              </w:divBdr>
              <w:divsChild>
                <w:div w:id="15838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1351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FHP-SSR</dc:creator>
  <cp:keywords/>
  <dc:description/>
  <cp:lastModifiedBy>FHP-SSR</cp:lastModifiedBy>
  <cp:revision>1</cp:revision>
  <dcterms:created xsi:type="dcterms:W3CDTF">2016-11-17T17:09:00Z</dcterms:created>
  <dcterms:modified xsi:type="dcterms:W3CDTF">2016-11-17T17:11:00Z</dcterms:modified>
</cp:coreProperties>
</file>