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4797E" w:rsidTr="00801162">
        <w:trPr>
          <w:tblCellSpacing w:w="0" w:type="dxa"/>
          <w:jc w:val="center"/>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4797E" w:rsidRPr="006B2752" w:rsidTr="00F4797E">
              <w:trPr>
                <w:tblCellSpacing w:w="0" w:type="dxa"/>
                <w:jc w:val="center"/>
              </w:trPr>
              <w:tc>
                <w:tcPr>
                  <w:tcW w:w="0" w:type="auto"/>
                  <w:hideMark/>
                </w:tcPr>
                <w:p w:rsidR="00F4797E" w:rsidRPr="006B2752" w:rsidRDefault="00F4797E" w:rsidP="00F4797E">
                  <w:pPr>
                    <w:rPr>
                      <w:rFonts w:eastAsia="Times New Roman"/>
                    </w:rPr>
                  </w:pPr>
                  <w:r w:rsidRPr="006B2752">
                    <w:rPr>
                      <w:rFonts w:eastAsia="Times New Roman"/>
                    </w:rPr>
                    <w:fldChar w:fldCharType="begin"/>
                  </w:r>
                  <w:r w:rsidRPr="006B2752">
                    <w:rPr>
                      <w:rFonts w:eastAsia="Times New Roman"/>
                    </w:rPr>
                    <w:instrText xml:space="preserve"> INCLUDEPICTURE "http://www.fhp.fr/images/emailing/header_flash.jpg" \* MERGEFORMATINET </w:instrText>
                  </w:r>
                  <w:r w:rsidRPr="006B2752">
                    <w:rPr>
                      <w:rFonts w:eastAsia="Times New Roman"/>
                    </w:rPr>
                    <w:fldChar w:fldCharType="separate"/>
                  </w:r>
                  <w:r w:rsidRPr="006B2752">
                    <w:rPr>
                      <w:rFonts w:eastAsia="Times New Roman"/>
                    </w:rPr>
                    <w:pict w14:anchorId="0BC4A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FHP" style="width:450pt;height:101.25pt">
                        <v:imagedata r:id="rId5" r:href="rId6"/>
                      </v:shape>
                    </w:pict>
                  </w:r>
                  <w:r w:rsidRPr="006B2752">
                    <w:rPr>
                      <w:rFonts w:eastAsia="Times New Roman"/>
                    </w:rPr>
                    <w:fldChar w:fldCharType="end"/>
                  </w:r>
                </w:p>
              </w:tc>
            </w:tr>
            <w:tr w:rsidR="00F4797E" w:rsidRPr="006B2752" w:rsidTr="00F4797E">
              <w:trPr>
                <w:tblCellSpacing w:w="0" w:type="dxa"/>
                <w:jc w:val="center"/>
              </w:trPr>
              <w:tc>
                <w:tcPr>
                  <w:tcW w:w="0" w:type="auto"/>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F4797E" w:rsidRPr="006B2752">
                    <w:trPr>
                      <w:tblCellSpacing w:w="0" w:type="dxa"/>
                    </w:trPr>
                    <w:tc>
                      <w:tcPr>
                        <w:tcW w:w="0" w:type="auto"/>
                        <w:shd w:val="clear" w:color="auto" w:fill="F8F8F8"/>
                        <w:tcMar>
                          <w:top w:w="300" w:type="dxa"/>
                          <w:left w:w="150" w:type="dxa"/>
                          <w:bottom w:w="225" w:type="dxa"/>
                          <w:right w:w="150" w:type="dxa"/>
                        </w:tcMar>
                        <w:vAlign w:val="center"/>
                        <w:hideMark/>
                      </w:tcPr>
                      <w:p w:rsidR="00F4797E" w:rsidRPr="006B2752" w:rsidRDefault="00F4797E" w:rsidP="00F4797E">
                        <w:pPr>
                          <w:rPr>
                            <w:rFonts w:ascii="Arial" w:eastAsia="Times New Roman" w:hAnsi="Arial" w:cs="Arial"/>
                            <w:color w:val="013E6A"/>
                            <w:sz w:val="18"/>
                            <w:szCs w:val="18"/>
                          </w:rPr>
                        </w:pPr>
                        <w:r w:rsidRPr="006B2752">
                          <w:rPr>
                            <w:rStyle w:val="lev"/>
                            <w:rFonts w:ascii="Arial" w:eastAsia="Times New Roman" w:hAnsi="Arial" w:cs="Arial"/>
                            <w:color w:val="013E6A"/>
                            <w:sz w:val="18"/>
                            <w:szCs w:val="18"/>
                          </w:rPr>
                          <w:t>Vendredi 29 juillet 2016</w:t>
                        </w:r>
                        <w:r w:rsidRPr="006B2752">
                          <w:rPr>
                            <w:rFonts w:ascii="Arial" w:eastAsia="Times New Roman" w:hAnsi="Arial" w:cs="Arial"/>
                            <w:color w:val="013E6A"/>
                            <w:sz w:val="18"/>
                            <w:szCs w:val="18"/>
                          </w:rPr>
                          <w:br/>
                          <w:t xml:space="preserve">Réf. : 0240-2016 </w:t>
                        </w:r>
                      </w:p>
                    </w:tc>
                  </w:tr>
                  <w:tr w:rsidR="00F4797E" w:rsidRPr="006B2752">
                    <w:trPr>
                      <w:tblCellSpacing w:w="0" w:type="dxa"/>
                    </w:trPr>
                    <w:tc>
                      <w:tcPr>
                        <w:tcW w:w="0" w:type="auto"/>
                        <w:shd w:val="clear" w:color="auto" w:fill="F8F8F8"/>
                        <w:tcMar>
                          <w:top w:w="300" w:type="dxa"/>
                          <w:left w:w="150" w:type="dxa"/>
                          <w:bottom w:w="225" w:type="dxa"/>
                          <w:right w:w="150" w:type="dxa"/>
                        </w:tcMar>
                        <w:vAlign w:val="center"/>
                        <w:hideMark/>
                      </w:tcPr>
                      <w:p w:rsidR="00F4797E" w:rsidRPr="006B2752" w:rsidRDefault="00F4797E" w:rsidP="00F4797E">
                        <w:pPr>
                          <w:rPr>
                            <w:rFonts w:ascii="Arial" w:eastAsia="Times New Roman" w:hAnsi="Arial" w:cs="Arial"/>
                            <w:b/>
                            <w:bCs/>
                            <w:color w:val="5CC9F3"/>
                            <w:sz w:val="21"/>
                            <w:szCs w:val="21"/>
                          </w:rPr>
                        </w:pPr>
                        <w:r w:rsidRPr="006B2752">
                          <w:rPr>
                            <w:rFonts w:ascii="Arial" w:eastAsia="Times New Roman" w:hAnsi="Arial" w:cs="Arial"/>
                            <w:b/>
                            <w:bCs/>
                            <w:color w:val="5CC9F3"/>
                            <w:sz w:val="21"/>
                            <w:szCs w:val="21"/>
                          </w:rPr>
                          <w:t xml:space="preserve">Informations économiques </w:t>
                        </w:r>
                      </w:p>
                    </w:tc>
                  </w:tr>
                  <w:tr w:rsidR="00F4797E" w:rsidRPr="006B2752">
                    <w:trPr>
                      <w:tblCellSpacing w:w="0" w:type="dxa"/>
                    </w:trPr>
                    <w:tc>
                      <w:tcPr>
                        <w:tcW w:w="0" w:type="auto"/>
                        <w:shd w:val="clear" w:color="auto" w:fill="F8F8F8"/>
                        <w:tcMar>
                          <w:top w:w="300" w:type="dxa"/>
                          <w:left w:w="150" w:type="dxa"/>
                          <w:bottom w:w="225" w:type="dxa"/>
                          <w:right w:w="150" w:type="dxa"/>
                        </w:tcMar>
                        <w:vAlign w:val="center"/>
                        <w:hideMark/>
                      </w:tcPr>
                      <w:p w:rsidR="00F4797E" w:rsidRPr="006B2752" w:rsidRDefault="00F4797E" w:rsidP="00F4797E">
                        <w:pPr>
                          <w:jc w:val="center"/>
                          <w:rPr>
                            <w:rFonts w:ascii="Arial" w:eastAsia="Times New Roman" w:hAnsi="Arial" w:cs="Arial"/>
                            <w:b/>
                            <w:bCs/>
                            <w:color w:val="013E6A"/>
                            <w:sz w:val="39"/>
                            <w:szCs w:val="39"/>
                          </w:rPr>
                        </w:pPr>
                        <w:r w:rsidRPr="006B2752">
                          <w:rPr>
                            <w:rFonts w:ascii="Arial" w:eastAsia="Times New Roman" w:hAnsi="Arial" w:cs="Arial"/>
                            <w:b/>
                            <w:bCs/>
                            <w:color w:val="013E6A"/>
                            <w:sz w:val="39"/>
                            <w:szCs w:val="39"/>
                          </w:rPr>
                          <w:t xml:space="preserve">Mise en </w:t>
                        </w:r>
                        <w:proofErr w:type="spellStart"/>
                        <w:r w:rsidRPr="006B2752">
                          <w:rPr>
                            <w:rFonts w:ascii="Arial" w:eastAsia="Times New Roman" w:hAnsi="Arial" w:cs="Arial"/>
                            <w:b/>
                            <w:bCs/>
                            <w:color w:val="013E6A"/>
                            <w:sz w:val="39"/>
                            <w:szCs w:val="39"/>
                          </w:rPr>
                          <w:t>oeuvre</w:t>
                        </w:r>
                        <w:proofErr w:type="spellEnd"/>
                        <w:r w:rsidRPr="006B2752">
                          <w:rPr>
                            <w:rFonts w:ascii="Arial" w:eastAsia="Times New Roman" w:hAnsi="Arial" w:cs="Arial"/>
                            <w:b/>
                            <w:bCs/>
                            <w:color w:val="013E6A"/>
                            <w:sz w:val="39"/>
                            <w:szCs w:val="39"/>
                          </w:rPr>
                          <w:t xml:space="preserve"> d'un test </w:t>
                        </w:r>
                        <w:proofErr w:type="spellStart"/>
                        <w:r w:rsidRPr="006B2752">
                          <w:rPr>
                            <w:rFonts w:ascii="Arial" w:eastAsia="Times New Roman" w:hAnsi="Arial" w:cs="Arial"/>
                            <w:b/>
                            <w:bCs/>
                            <w:color w:val="013E6A"/>
                            <w:sz w:val="39"/>
                            <w:szCs w:val="39"/>
                          </w:rPr>
                          <w:t>anonymisé</w:t>
                        </w:r>
                        <w:proofErr w:type="spellEnd"/>
                        <w:r w:rsidRPr="006B2752">
                          <w:rPr>
                            <w:rFonts w:ascii="Arial" w:eastAsia="Times New Roman" w:hAnsi="Arial" w:cs="Arial"/>
                            <w:b/>
                            <w:bCs/>
                            <w:color w:val="013E6A"/>
                            <w:sz w:val="39"/>
                            <w:szCs w:val="39"/>
                          </w:rPr>
                          <w:t xml:space="preserve"> </w:t>
                        </w:r>
                        <w:r w:rsidRPr="006B2752">
                          <w:rPr>
                            <w:rFonts w:ascii="Arial" w:eastAsia="Times New Roman" w:hAnsi="Arial" w:cs="Arial"/>
                            <w:b/>
                            <w:bCs/>
                            <w:color w:val="013E6A"/>
                            <w:sz w:val="39"/>
                            <w:szCs w:val="39"/>
                          </w:rPr>
                          <w:br/>
                          <w:t xml:space="preserve">du dispositif SIEG </w:t>
                        </w:r>
                        <w:r w:rsidRPr="006B2752">
                          <w:rPr>
                            <w:rFonts w:ascii="Arial" w:eastAsia="Times New Roman" w:hAnsi="Arial" w:cs="Arial"/>
                            <w:b/>
                            <w:bCs/>
                            <w:color w:val="013E6A"/>
                            <w:sz w:val="39"/>
                            <w:szCs w:val="39"/>
                          </w:rPr>
                          <w:br/>
                          <w:t>sur les données comptables 2015</w:t>
                        </w:r>
                      </w:p>
                    </w:tc>
                  </w:tr>
                  <w:tr w:rsidR="00F4797E" w:rsidRPr="006B2752">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Look w:val="04A0" w:firstRow="1" w:lastRow="0" w:firstColumn="1" w:lastColumn="0" w:noHBand="0" w:noVBand="1"/>
                        </w:tblPr>
                        <w:tblGrid>
                          <w:gridCol w:w="8700"/>
                        </w:tblGrid>
                        <w:tr w:rsidR="00F4797E" w:rsidRPr="006B2752">
                          <w:trPr>
                            <w:tblCellSpacing w:w="15" w:type="dxa"/>
                          </w:trPr>
                          <w:tc>
                            <w:tcPr>
                              <w:tcW w:w="0" w:type="auto"/>
                              <w:tcMar>
                                <w:top w:w="15" w:type="dxa"/>
                                <w:left w:w="15" w:type="dxa"/>
                                <w:bottom w:w="15" w:type="dxa"/>
                                <w:right w:w="15" w:type="dxa"/>
                              </w:tcMar>
                              <w:vAlign w:val="center"/>
                            </w:tcPr>
                            <w:p w:rsidR="00F4797E" w:rsidRPr="006B2752" w:rsidRDefault="00F4797E" w:rsidP="00F4797E">
                              <w:pPr>
                                <w:spacing w:after="240"/>
                                <w:rPr>
                                  <w:rFonts w:ascii="Arial" w:eastAsia="Times New Roman" w:hAnsi="Arial" w:cs="Arial"/>
                                  <w:color w:val="436999"/>
                                  <w:sz w:val="20"/>
                                  <w:szCs w:val="20"/>
                                </w:rPr>
                              </w:pPr>
                              <w:r w:rsidRPr="006B2752">
                                <w:rPr>
                                  <w:rFonts w:ascii="Arial" w:eastAsia="Times New Roman" w:hAnsi="Arial" w:cs="Arial"/>
                                  <w:b/>
                                  <w:bCs/>
                                  <w:color w:val="436999"/>
                                  <w:sz w:val="20"/>
                                  <w:szCs w:val="20"/>
                                </w:rPr>
                                <w:br/>
                                <w:t>A retenir :</w:t>
                              </w:r>
                            </w:p>
                            <w:p w:rsidR="00F4797E" w:rsidRPr="006B2752" w:rsidRDefault="00F4797E" w:rsidP="00F4797E">
                              <w:pPr>
                                <w:numPr>
                                  <w:ilvl w:val="0"/>
                                  <w:numId w:val="2"/>
                                </w:numPr>
                                <w:spacing w:before="100" w:beforeAutospacing="1" w:after="100" w:afterAutospacing="1"/>
                                <w:rPr>
                                  <w:rFonts w:ascii="Arial" w:eastAsia="Times New Roman" w:hAnsi="Arial" w:cs="Arial"/>
                                  <w:color w:val="436999"/>
                                  <w:sz w:val="20"/>
                                  <w:szCs w:val="20"/>
                                </w:rPr>
                              </w:pPr>
                              <w:r w:rsidRPr="006B2752">
                                <w:rPr>
                                  <w:rFonts w:ascii="Arial" w:eastAsia="Times New Roman" w:hAnsi="Arial" w:cs="Arial"/>
                                  <w:color w:val="436999"/>
                                  <w:sz w:val="20"/>
                                  <w:szCs w:val="20"/>
                                </w:rPr>
                                <w:t>La loi de modernisation de notre système de santé du 26 janvier 2015 créé le SIEG et le dispositif de contrôle de la sur compensation qui l’accompagne</w:t>
                              </w:r>
                            </w:p>
                            <w:p w:rsidR="00F4797E" w:rsidRPr="006B2752" w:rsidRDefault="00F4797E" w:rsidP="00F4797E">
                              <w:pPr>
                                <w:numPr>
                                  <w:ilvl w:val="0"/>
                                  <w:numId w:val="2"/>
                                </w:numPr>
                                <w:spacing w:before="100" w:beforeAutospacing="1" w:after="100" w:afterAutospacing="1"/>
                                <w:rPr>
                                  <w:rFonts w:ascii="Arial" w:eastAsia="Times New Roman" w:hAnsi="Arial" w:cs="Arial"/>
                                  <w:color w:val="436999"/>
                                  <w:sz w:val="20"/>
                                  <w:szCs w:val="20"/>
                                </w:rPr>
                              </w:pPr>
                              <w:r w:rsidRPr="006B2752">
                                <w:rPr>
                                  <w:rFonts w:ascii="Arial" w:eastAsia="Times New Roman" w:hAnsi="Arial" w:cs="Arial"/>
                                  <w:color w:val="436999"/>
                                  <w:sz w:val="20"/>
                                  <w:szCs w:val="20"/>
                                </w:rPr>
                                <w:t>La mise en œuvre de cette mesure sera effective sur les données comptables de l’exercice 2016</w:t>
                              </w:r>
                            </w:p>
                            <w:p w:rsidR="00F4797E" w:rsidRPr="006B2752" w:rsidRDefault="00F4797E" w:rsidP="00F4797E">
                              <w:pPr>
                                <w:numPr>
                                  <w:ilvl w:val="0"/>
                                  <w:numId w:val="2"/>
                                </w:numPr>
                                <w:spacing w:before="100" w:beforeAutospacing="1" w:after="100" w:afterAutospacing="1"/>
                                <w:rPr>
                                  <w:rFonts w:ascii="Arial" w:eastAsia="Times New Roman" w:hAnsi="Arial" w:cs="Arial"/>
                                  <w:color w:val="436999"/>
                                  <w:sz w:val="20"/>
                                  <w:szCs w:val="20"/>
                                </w:rPr>
                              </w:pPr>
                              <w:r w:rsidRPr="006B2752">
                                <w:rPr>
                                  <w:rFonts w:ascii="Arial" w:eastAsia="Times New Roman" w:hAnsi="Arial" w:cs="Arial"/>
                                  <w:color w:val="436999"/>
                                  <w:sz w:val="20"/>
                                  <w:szCs w:val="20"/>
                                </w:rPr>
                                <w:t xml:space="preserve">Un test à blanc </w:t>
                              </w:r>
                              <w:proofErr w:type="spellStart"/>
                              <w:r w:rsidRPr="006B2752">
                                <w:rPr>
                                  <w:rFonts w:ascii="Arial" w:eastAsia="Times New Roman" w:hAnsi="Arial" w:cs="Arial"/>
                                  <w:color w:val="436999"/>
                                  <w:sz w:val="20"/>
                                  <w:szCs w:val="20"/>
                                </w:rPr>
                                <w:t>anonymisé</w:t>
                              </w:r>
                              <w:proofErr w:type="spellEnd"/>
                              <w:r w:rsidRPr="006B2752">
                                <w:rPr>
                                  <w:rFonts w:ascii="Arial" w:eastAsia="Times New Roman" w:hAnsi="Arial" w:cs="Arial"/>
                                  <w:color w:val="436999"/>
                                  <w:sz w:val="20"/>
                                  <w:szCs w:val="20"/>
                                </w:rPr>
                                <w:t xml:space="preserve"> du dispositif est organisé sur les données comptables de l’exercice 2015. Il permettra aux établissements de se préparer à la mise en œuvre du contrôle et de vérifier l’opérabilité du dispositif</w:t>
                              </w:r>
                            </w:p>
                            <w:p w:rsidR="00F4797E" w:rsidRPr="006B2752" w:rsidRDefault="00F4797E" w:rsidP="00F4797E">
                              <w:pPr>
                                <w:numPr>
                                  <w:ilvl w:val="0"/>
                                  <w:numId w:val="2"/>
                                </w:numPr>
                                <w:spacing w:before="100" w:beforeAutospacing="1" w:after="100" w:afterAutospacing="1"/>
                                <w:rPr>
                                  <w:rFonts w:ascii="Arial" w:eastAsia="Times New Roman" w:hAnsi="Arial" w:cs="Arial"/>
                                  <w:color w:val="436999"/>
                                  <w:sz w:val="20"/>
                                  <w:szCs w:val="20"/>
                                </w:rPr>
                              </w:pPr>
                              <w:r w:rsidRPr="006B2752">
                                <w:rPr>
                                  <w:rFonts w:ascii="Arial" w:eastAsia="Times New Roman" w:hAnsi="Arial" w:cs="Arial"/>
                                  <w:color w:val="436999"/>
                                  <w:sz w:val="20"/>
                                  <w:szCs w:val="20"/>
                                </w:rPr>
                                <w:t>La FHP, en étroite coordination avec les syndicats de spécialité, met en œuvre un dispositif d’accompagnement des adhérents pour ce test anonyme. La mise en  œuvre en a été confiée au cabinet KPMG</w:t>
                              </w:r>
                            </w:p>
                            <w:p w:rsidR="00F4797E" w:rsidRPr="006B2752" w:rsidRDefault="00F4797E" w:rsidP="00F4797E">
                              <w:pPr>
                                <w:numPr>
                                  <w:ilvl w:val="0"/>
                                  <w:numId w:val="2"/>
                                </w:numPr>
                                <w:spacing w:before="100" w:beforeAutospacing="1" w:after="100" w:afterAutospacing="1"/>
                                <w:rPr>
                                  <w:rFonts w:ascii="Arial" w:eastAsia="Times New Roman" w:hAnsi="Arial" w:cs="Arial"/>
                                  <w:color w:val="436999"/>
                                  <w:sz w:val="20"/>
                                  <w:szCs w:val="20"/>
                                </w:rPr>
                              </w:pPr>
                              <w:r w:rsidRPr="006B2752">
                                <w:rPr>
                                  <w:rFonts w:ascii="Arial" w:eastAsia="Times New Roman" w:hAnsi="Arial" w:cs="Arial"/>
                                  <w:color w:val="436999"/>
                                  <w:sz w:val="20"/>
                                  <w:szCs w:val="20"/>
                                </w:rPr>
                                <w:t xml:space="preserve">Les établissements souhaitant participer au test doivent envoyer avant le 30 septembre 2016 au cabinet KPMG à l’adresse suivante </w:t>
                              </w:r>
                              <w:hyperlink r:id="rId7" w:history="1">
                                <w:r w:rsidRPr="006B2752">
                                  <w:rPr>
                                    <w:rStyle w:val="Lienhypertexte"/>
                                    <w:rFonts w:ascii="Arial" w:eastAsia="Times New Roman" w:hAnsi="Arial" w:cs="Arial"/>
                                    <w:sz w:val="20"/>
                                    <w:szCs w:val="20"/>
                                  </w:rPr>
                                  <w:t>FR-FMFHPSIEG@Kpmg.fr</w:t>
                                </w:r>
                              </w:hyperlink>
                              <w:r w:rsidRPr="006B2752">
                                <w:rPr>
                                  <w:rFonts w:ascii="Arial" w:eastAsia="Times New Roman" w:hAnsi="Arial" w:cs="Arial"/>
                                  <w:color w:val="436999"/>
                                  <w:sz w:val="20"/>
                                  <w:szCs w:val="20"/>
                                </w:rPr>
                                <w:t xml:space="preserve"> au format Excel : les comptes annuels, la balance générale, le grand livre général de l’année 2015, le fichier « Maquette comptable – contrôle des surcompensations » après avoir complété l’onglet « Autres_m²».</w:t>
                              </w:r>
                            </w:p>
                            <w:p w:rsidR="00F4797E" w:rsidRPr="006B2752" w:rsidRDefault="00F4797E" w:rsidP="00F4797E">
                              <w:pPr>
                                <w:jc w:val="center"/>
                                <w:rPr>
                                  <w:rFonts w:ascii="Arial" w:eastAsia="Times New Roman" w:hAnsi="Arial" w:cs="Arial"/>
                                  <w:color w:val="436999"/>
                                  <w:sz w:val="20"/>
                                  <w:szCs w:val="20"/>
                                </w:rPr>
                              </w:pPr>
                              <w:r w:rsidRPr="006B2752">
                                <w:rPr>
                                  <w:rFonts w:ascii="Arial" w:eastAsia="Times New Roman" w:hAnsi="Arial" w:cs="Arial"/>
                                  <w:color w:val="436999"/>
                                  <w:sz w:val="20"/>
                                  <w:szCs w:val="20"/>
                                </w:rPr>
                                <w:pict w14:anchorId="65D9113C">
                                  <v:rect id="_x0000_i1077" style="width:414pt;height:1.5pt" o:hralign="center" o:hrstd="t" o:hr="t" fillcolor="#a0a0a0" stroked="f"/>
                                </w:pict>
                              </w:r>
                            </w:p>
                            <w:p w:rsidR="00F4797E" w:rsidRPr="006B2752" w:rsidRDefault="00F4797E" w:rsidP="00F4797E">
                              <w:pPr>
                                <w:pStyle w:val="NormalWeb"/>
                                <w:rPr>
                                  <w:rFonts w:ascii="Arial" w:hAnsi="Arial" w:cs="Arial"/>
                                  <w:color w:val="436999"/>
                                  <w:sz w:val="20"/>
                                  <w:szCs w:val="20"/>
                                </w:rPr>
                              </w:pPr>
                              <w:r w:rsidRPr="006B2752">
                                <w:rPr>
                                  <w:rFonts w:ascii="Arial" w:hAnsi="Arial" w:cs="Arial"/>
                                  <w:color w:val="436999"/>
                                  <w:sz w:val="20"/>
                                  <w:szCs w:val="20"/>
                                </w:rPr>
                                <w:t>Cher Adhérent,</w:t>
                              </w:r>
                              <w:r w:rsidRPr="006B2752">
                                <w:rPr>
                                  <w:rFonts w:ascii="Arial" w:hAnsi="Arial" w:cs="Arial"/>
                                  <w:color w:val="436999"/>
                                  <w:sz w:val="20"/>
                                  <w:szCs w:val="20"/>
                                </w:rPr>
                                <w:br/>
                              </w:r>
                              <w:r w:rsidRPr="006B2752">
                                <w:rPr>
                                  <w:rFonts w:ascii="Arial" w:hAnsi="Arial" w:cs="Arial"/>
                                  <w:color w:val="436999"/>
                                  <w:sz w:val="20"/>
                                  <w:szCs w:val="20"/>
                                </w:rPr>
                                <w:br/>
                                <w:t>La loi de modernisation de notre système de santé a prévu la mise en œuvre du Service d’Intérêt Economique Général et le contrôle de la surcompensation qui l’accompagne. La mesure vise notamment à contrôler que les établissements de santé de tous statuts juridiques et de toute spécialité ne réalisent pas un bénéfice sur l’activité d’intérêt général dépassant un seuil dit de « </w:t>
                              </w:r>
                              <w:r w:rsidRPr="006B2752">
                                <w:rPr>
                                  <w:rFonts w:ascii="Arial" w:hAnsi="Arial" w:cs="Arial"/>
                                  <w:i/>
                                  <w:iCs/>
                                  <w:color w:val="436999"/>
                                  <w:sz w:val="20"/>
                                  <w:szCs w:val="20"/>
                                </w:rPr>
                                <w:t>bénéfice raisonnable</w:t>
                              </w:r>
                              <w:r w:rsidRPr="006B2752">
                                <w:rPr>
                                  <w:rFonts w:ascii="Arial" w:hAnsi="Arial" w:cs="Arial"/>
                                  <w:color w:val="436999"/>
                                  <w:sz w:val="20"/>
                                  <w:szCs w:val="20"/>
                                </w:rPr>
                                <w:t> ».</w:t>
                              </w:r>
                              <w:r w:rsidRPr="006B2752">
                                <w:rPr>
                                  <w:rFonts w:ascii="Arial" w:hAnsi="Arial" w:cs="Arial"/>
                                  <w:color w:val="436999"/>
                                  <w:sz w:val="20"/>
                                  <w:szCs w:val="20"/>
                                </w:rPr>
                                <w:br/>
                              </w:r>
                              <w:r w:rsidRPr="006B2752">
                                <w:rPr>
                                  <w:rFonts w:ascii="Arial" w:hAnsi="Arial" w:cs="Arial"/>
                                  <w:color w:val="436999"/>
                                  <w:sz w:val="20"/>
                                  <w:szCs w:val="20"/>
                                </w:rPr>
                                <w:br/>
                                <w:t>Ce contrôle s’effectuera sur les ressources publiques et issues de la tarification de l’assurance maladie à l’exclusion de l’ensemble des recettes à caractère commercial, dites recettes annexes (chambre particulières, patients étrangers, chirurgie esthétique, TV, Téléphone, redevances de parking….).</w:t>
                              </w:r>
                              <w:r w:rsidRPr="006B2752">
                                <w:rPr>
                                  <w:rFonts w:ascii="Arial" w:hAnsi="Arial" w:cs="Arial"/>
                                  <w:color w:val="436999"/>
                                  <w:sz w:val="20"/>
                                  <w:szCs w:val="20"/>
                                </w:rPr>
                                <w:br/>
                              </w:r>
                              <w:r w:rsidRPr="006B2752">
                                <w:rPr>
                                  <w:rFonts w:ascii="Arial" w:hAnsi="Arial" w:cs="Arial"/>
                                  <w:color w:val="436999"/>
                                  <w:sz w:val="20"/>
                                  <w:szCs w:val="20"/>
                                </w:rPr>
                                <w:br/>
                                <w:t>Le contrôle sera mis en œuvre au niveau de l’établissement (</w:t>
                              </w:r>
                              <w:proofErr w:type="spellStart"/>
                              <w:r w:rsidRPr="006B2752">
                                <w:rPr>
                                  <w:rFonts w:ascii="Arial" w:hAnsi="Arial" w:cs="Arial"/>
                                  <w:color w:val="436999"/>
                                  <w:sz w:val="20"/>
                                  <w:szCs w:val="20"/>
                                </w:rPr>
                                <w:t>finess</w:t>
                              </w:r>
                              <w:proofErr w:type="spellEnd"/>
                              <w:r w:rsidRPr="006B2752">
                                <w:rPr>
                                  <w:rFonts w:ascii="Arial" w:hAnsi="Arial" w:cs="Arial"/>
                                  <w:color w:val="436999"/>
                                  <w:sz w:val="20"/>
                                  <w:szCs w:val="20"/>
                                </w:rPr>
                                <w:t xml:space="preserve"> juridique).</w:t>
                              </w:r>
                              <w:r w:rsidRPr="006B2752">
                                <w:rPr>
                                  <w:rFonts w:ascii="Arial" w:hAnsi="Arial" w:cs="Arial"/>
                                  <w:color w:val="436999"/>
                                  <w:sz w:val="20"/>
                                  <w:szCs w:val="20"/>
                                </w:rPr>
                                <w:br/>
                              </w:r>
                              <w:r w:rsidRPr="006B2752">
                                <w:rPr>
                                  <w:rFonts w:ascii="Arial" w:hAnsi="Arial" w:cs="Arial"/>
                                  <w:color w:val="436999"/>
                                  <w:sz w:val="20"/>
                                  <w:szCs w:val="20"/>
                                </w:rPr>
                                <w:br/>
                                <w:t xml:space="preserve">La FHP en étroite coordination avec les syndicats de spécialité conduit un travail de préparation de la mise en œuvre de cette mesure dont le décret d’application devrait être publié en décembre 2016 pour faire valoir les intérêts du secteur afin que cette mesure ne conduise pas à </w:t>
                              </w:r>
                              <w:r w:rsidRPr="006B2752">
                                <w:rPr>
                                  <w:rFonts w:ascii="Arial" w:hAnsi="Arial" w:cs="Arial"/>
                                  <w:color w:val="436999"/>
                                  <w:sz w:val="20"/>
                                  <w:szCs w:val="20"/>
                                </w:rPr>
                                <w:lastRenderedPageBreak/>
                                <w:t>limiter l’investissement privé et la sécurité juridique qui doit lui être garantie. Par ailleurs, notre action vise à limiter les impacts en termes de charge de travail sur les établissements.</w:t>
                              </w:r>
                              <w:r w:rsidRPr="006B2752">
                                <w:rPr>
                                  <w:rFonts w:ascii="Arial" w:hAnsi="Arial" w:cs="Arial"/>
                                  <w:color w:val="436999"/>
                                  <w:sz w:val="20"/>
                                  <w:szCs w:val="20"/>
                                </w:rPr>
                                <w:br/>
                              </w:r>
                              <w:r w:rsidRPr="006B2752">
                                <w:rPr>
                                  <w:rFonts w:ascii="Arial" w:hAnsi="Arial" w:cs="Arial"/>
                                  <w:color w:val="436999"/>
                                  <w:sz w:val="20"/>
                                  <w:szCs w:val="20"/>
                                </w:rPr>
                                <w:br/>
                                <w:t xml:space="preserve">C’est notamment dans cet objectif qu’il a été obtenu que la mise en œuvre du contrôle s’effectue sur la base d’une maquette comptable issue du PCG permettant la distinction des recettes et charges SIEG soumises au contrôle. Vous trouvez ci-dessous à titre d’information la </w:t>
                              </w:r>
                              <w:hyperlink r:id="rId8" w:history="1">
                                <w:r w:rsidRPr="006B2752">
                                  <w:rPr>
                                    <w:rStyle w:val="Lienhypertexte"/>
                                    <w:rFonts w:ascii="Arial" w:hAnsi="Arial" w:cs="Arial"/>
                                    <w:sz w:val="20"/>
                                    <w:szCs w:val="20"/>
                                  </w:rPr>
                                  <w:t xml:space="preserve">maquette </w:t>
                                </w:r>
                              </w:hyperlink>
                              <w:r w:rsidRPr="006B2752">
                                <w:rPr>
                                  <w:rFonts w:ascii="Arial" w:hAnsi="Arial" w:cs="Arial"/>
                                  <w:color w:val="436999"/>
                                  <w:sz w:val="20"/>
                                  <w:szCs w:val="20"/>
                                </w:rPr>
                                <w:t xml:space="preserve">et le </w:t>
                              </w:r>
                              <w:hyperlink r:id="rId9" w:history="1">
                                <w:r w:rsidRPr="006B2752">
                                  <w:rPr>
                                    <w:rStyle w:val="Lienhypertexte"/>
                                    <w:rFonts w:ascii="Arial" w:hAnsi="Arial" w:cs="Arial"/>
                                    <w:sz w:val="20"/>
                                    <w:szCs w:val="20"/>
                                  </w:rPr>
                                  <w:t>guide d’utilisation ATIH.</w:t>
                                </w:r>
                                <w:r w:rsidRPr="006B2752">
                                  <w:rPr>
                                    <w:rFonts w:ascii="Arial" w:hAnsi="Arial" w:cs="Arial"/>
                                    <w:color w:val="0000FF"/>
                                    <w:sz w:val="20"/>
                                    <w:szCs w:val="20"/>
                                    <w:u w:val="single"/>
                                  </w:rPr>
                                  <w:br/>
                                </w:r>
                              </w:hyperlink>
                              <w:r w:rsidRPr="006B2752">
                                <w:rPr>
                                  <w:rFonts w:ascii="Arial" w:hAnsi="Arial" w:cs="Arial"/>
                                  <w:color w:val="436999"/>
                                  <w:sz w:val="20"/>
                                  <w:szCs w:val="20"/>
                                </w:rPr>
                                <w:br/>
                                <w:t>Afin de contrôler l’opérabilité du dispositif et de contribuer à la réflexion en vue des discussions à venir sur le niveau de bénéfice raisonnable qui sera arrêté pour notre secteur, un test anonyme est prévu.</w:t>
                              </w:r>
                              <w:r w:rsidRPr="006B2752">
                                <w:rPr>
                                  <w:rFonts w:ascii="Arial" w:hAnsi="Arial" w:cs="Arial"/>
                                  <w:color w:val="436999"/>
                                  <w:sz w:val="20"/>
                                  <w:szCs w:val="20"/>
                                </w:rPr>
                                <w:br/>
                              </w:r>
                              <w:r w:rsidRPr="006B2752">
                                <w:rPr>
                                  <w:rFonts w:ascii="Arial" w:hAnsi="Arial" w:cs="Arial"/>
                                  <w:color w:val="436999"/>
                                  <w:sz w:val="20"/>
                                  <w:szCs w:val="20"/>
                                </w:rPr>
                                <w:br/>
                                <w:t>Pour cela, la FHP met en œuvre un accompagnement spécifique, garantissant un anonymat absolu aux établissements participants.</w:t>
                              </w:r>
                              <w:r w:rsidRPr="006B2752">
                                <w:rPr>
                                  <w:rFonts w:ascii="Arial" w:hAnsi="Arial" w:cs="Arial"/>
                                  <w:color w:val="436999"/>
                                  <w:sz w:val="20"/>
                                  <w:szCs w:val="20"/>
                                </w:rPr>
                                <w:br/>
                              </w:r>
                              <w:r w:rsidRPr="006B2752">
                                <w:rPr>
                                  <w:rFonts w:ascii="Arial" w:hAnsi="Arial" w:cs="Arial"/>
                                  <w:color w:val="436999"/>
                                  <w:sz w:val="20"/>
                                  <w:szCs w:val="20"/>
                                </w:rPr>
                                <w:br/>
                                <w:t xml:space="preserve">Pour préparer au mieux la profession à ce nouveau dispositif et en évaluer l’impact, nous vous invitons donc à participer à ce test </w:t>
                              </w:r>
                              <w:proofErr w:type="spellStart"/>
                              <w:r w:rsidRPr="006B2752">
                                <w:rPr>
                                  <w:rFonts w:ascii="Arial" w:hAnsi="Arial" w:cs="Arial"/>
                                  <w:color w:val="436999"/>
                                  <w:sz w:val="20"/>
                                  <w:szCs w:val="20"/>
                                </w:rPr>
                                <w:t>anonymisé</w:t>
                              </w:r>
                              <w:proofErr w:type="spellEnd"/>
                              <w:r w:rsidRPr="006B2752">
                                <w:rPr>
                                  <w:rFonts w:ascii="Arial" w:hAnsi="Arial" w:cs="Arial"/>
                                  <w:color w:val="436999"/>
                                  <w:sz w:val="20"/>
                                  <w:szCs w:val="20"/>
                                </w:rPr>
                                <w:t>.</w:t>
                              </w:r>
                              <w:r w:rsidRPr="006B2752">
                                <w:rPr>
                                  <w:rFonts w:ascii="Arial" w:hAnsi="Arial" w:cs="Arial"/>
                                  <w:color w:val="436999"/>
                                  <w:sz w:val="20"/>
                                  <w:szCs w:val="20"/>
                                </w:rPr>
                                <w:br/>
                              </w:r>
                              <w:r w:rsidRPr="006B2752">
                                <w:rPr>
                                  <w:rFonts w:ascii="Arial" w:hAnsi="Arial" w:cs="Arial"/>
                                  <w:color w:val="436999"/>
                                  <w:sz w:val="20"/>
                                  <w:szCs w:val="20"/>
                                </w:rPr>
                                <w:br/>
                                <w:t xml:space="preserve">Pour cela, vous êtes invité à adresser à </w:t>
                              </w:r>
                              <w:hyperlink r:id="rId10" w:history="1">
                                <w:r w:rsidRPr="006B2752">
                                  <w:rPr>
                                    <w:rStyle w:val="Lienhypertexte"/>
                                    <w:rFonts w:ascii="Arial" w:hAnsi="Arial" w:cs="Arial"/>
                                    <w:sz w:val="20"/>
                                    <w:szCs w:val="20"/>
                                  </w:rPr>
                                  <w:t>FR-FMFHPSIEG@Kpmg.fr</w:t>
                                </w:r>
                              </w:hyperlink>
                              <w:r w:rsidRPr="006B2752">
                                <w:rPr>
                                  <w:rFonts w:ascii="Arial" w:hAnsi="Arial" w:cs="Arial"/>
                                  <w:color w:val="436999"/>
                                  <w:sz w:val="20"/>
                                  <w:szCs w:val="20"/>
                                </w:rPr>
                                <w:t xml:space="preserve"> au format Excel : les comptes annuels, la balance générale, le grand livre général de l’année 2015, </w:t>
                              </w:r>
                              <w:r w:rsidRPr="006B2752">
                                <w:rPr>
                                  <w:rFonts w:ascii="Arial" w:hAnsi="Arial" w:cs="Arial"/>
                                  <w:b/>
                                  <w:bCs/>
                                  <w:color w:val="436999"/>
                                  <w:sz w:val="20"/>
                                  <w:szCs w:val="20"/>
                                </w:rPr>
                                <w:t>le fichier « Maquette comptable – contrôle des surcompensations » après avoir complété l’onglet « Autres_m² </w:t>
                              </w:r>
                              <w:r w:rsidRPr="006B2752">
                                <w:rPr>
                                  <w:rFonts w:ascii="Arial" w:hAnsi="Arial" w:cs="Arial"/>
                                  <w:b/>
                                  <w:bCs/>
                                  <w:color w:val="436999"/>
                                  <w:sz w:val="20"/>
                                  <w:szCs w:val="20"/>
                                  <w:u w:val="single"/>
                                </w:rPr>
                                <w:t>avant le 30 septembre 2016</w:t>
                              </w:r>
                              <w:r w:rsidRPr="006B2752">
                                <w:rPr>
                                  <w:rFonts w:ascii="Arial" w:hAnsi="Arial" w:cs="Arial"/>
                                  <w:color w:val="436999"/>
                                  <w:sz w:val="20"/>
                                  <w:szCs w:val="20"/>
                                </w:rPr>
                                <w:t>.</w:t>
                              </w:r>
                              <w:r w:rsidRPr="006B2752">
                                <w:rPr>
                                  <w:rFonts w:ascii="Arial" w:hAnsi="Arial" w:cs="Arial"/>
                                  <w:color w:val="436999"/>
                                  <w:sz w:val="20"/>
                                  <w:szCs w:val="20"/>
                                </w:rPr>
                                <w:br/>
                              </w:r>
                              <w:r w:rsidRPr="006B2752">
                                <w:rPr>
                                  <w:rFonts w:ascii="Arial" w:hAnsi="Arial" w:cs="Arial"/>
                                  <w:color w:val="436999"/>
                                  <w:sz w:val="20"/>
                                  <w:szCs w:val="20"/>
                                </w:rPr>
                                <w:br/>
                                <w:t xml:space="preserve">Le cabinet KPMG assurera : le contrôle des pièces, l’intégration des données dans la maquette ATIH, </w:t>
                              </w:r>
                              <w:r w:rsidRPr="006B2752">
                                <w:rPr>
                                  <w:rFonts w:ascii="Arial" w:hAnsi="Arial" w:cs="Arial"/>
                                  <w:b/>
                                  <w:bCs/>
                                  <w:color w:val="436999"/>
                                  <w:sz w:val="20"/>
                                  <w:szCs w:val="20"/>
                                  <w:u w:val="single"/>
                                </w:rPr>
                                <w:t>le transfert des données anonymes à l’ATIH</w:t>
                              </w:r>
                              <w:r w:rsidRPr="006B2752">
                                <w:rPr>
                                  <w:rFonts w:ascii="Arial" w:hAnsi="Arial" w:cs="Arial"/>
                                  <w:color w:val="436999"/>
                                  <w:sz w:val="20"/>
                                  <w:szCs w:val="20"/>
                                </w:rPr>
                                <w:t xml:space="preserve"> et une restitution aux établissements.</w:t>
                              </w:r>
                              <w:r w:rsidRPr="006B2752">
                                <w:rPr>
                                  <w:rFonts w:ascii="Arial" w:hAnsi="Arial" w:cs="Arial"/>
                                  <w:color w:val="436999"/>
                                  <w:sz w:val="20"/>
                                  <w:szCs w:val="20"/>
                                </w:rPr>
                                <w:br/>
                              </w:r>
                              <w:r w:rsidRPr="006B2752">
                                <w:rPr>
                                  <w:rFonts w:ascii="Arial" w:hAnsi="Arial" w:cs="Arial"/>
                                  <w:color w:val="436999"/>
                                  <w:sz w:val="20"/>
                                  <w:szCs w:val="20"/>
                                </w:rPr>
                                <w:br/>
                                <w:t>Vous aurez une seule information à renseigner relative au m² avant d’adresser la maquette DGOS, vous veillerez à compléter, au mieux de votre connaissance, l’onglet « Autres_M² » afin de pouvoir évaluer les charges relatives aux prestations délivrées aux usagers et accompagnants / majorations pour chambres particulières. Il convient de renseigner également l’unité utilisée pour le recueil des superficies.</w:t>
                              </w:r>
                              <w:r w:rsidRPr="006B2752">
                                <w:rPr>
                                  <w:rFonts w:ascii="Arial" w:hAnsi="Arial" w:cs="Arial"/>
                                  <w:color w:val="436999"/>
                                  <w:sz w:val="20"/>
                                  <w:szCs w:val="20"/>
                                </w:rPr>
                                <w:br/>
                              </w:r>
                              <w:r w:rsidRPr="006B2752">
                                <w:rPr>
                                  <w:rFonts w:ascii="Arial" w:hAnsi="Arial" w:cs="Arial"/>
                                  <w:color w:val="436999"/>
                                  <w:sz w:val="20"/>
                                  <w:szCs w:val="20"/>
                                </w:rPr>
                                <w:br/>
                                <w:t xml:space="preserve">Anthony Gesret, Manager KPMG (01 55 68 22 42 ; 06 04 52 37 33) et Eric Le </w:t>
                              </w:r>
                              <w:proofErr w:type="spellStart"/>
                              <w:r w:rsidRPr="006B2752">
                                <w:rPr>
                                  <w:rFonts w:ascii="Arial" w:hAnsi="Arial" w:cs="Arial"/>
                                  <w:color w:val="436999"/>
                                  <w:sz w:val="20"/>
                                  <w:szCs w:val="20"/>
                                </w:rPr>
                                <w:t>Bihan</w:t>
                              </w:r>
                              <w:proofErr w:type="spellEnd"/>
                              <w:r w:rsidRPr="006B2752">
                                <w:rPr>
                                  <w:rFonts w:ascii="Arial" w:hAnsi="Arial" w:cs="Arial"/>
                                  <w:color w:val="436999"/>
                                  <w:sz w:val="20"/>
                                  <w:szCs w:val="20"/>
                                </w:rPr>
                                <w:t>, Consultant KPMG (01 55 68 22 77, 06 19 67 09 76) sont à votre disposition pour tout renseignement concernant votre participation au test.</w:t>
                              </w:r>
                              <w:r w:rsidRPr="006B2752">
                                <w:rPr>
                                  <w:rFonts w:ascii="Arial" w:hAnsi="Arial" w:cs="Arial"/>
                                  <w:color w:val="436999"/>
                                  <w:sz w:val="20"/>
                                  <w:szCs w:val="20"/>
                                </w:rPr>
                                <w:br/>
                              </w:r>
                              <w:r w:rsidRPr="006B2752">
                                <w:rPr>
                                  <w:rFonts w:ascii="Arial" w:hAnsi="Arial" w:cs="Arial"/>
                                  <w:color w:val="436999"/>
                                  <w:sz w:val="20"/>
                                  <w:szCs w:val="20"/>
                                </w:rPr>
                                <w:br/>
                                <w:t>L’implication d’établissements de toute spécialité est essentielle au contrôle de la faisabilité du dispositif, à l’anticipation des impacts pour les établissements et à la défense de notre secteur au moment de la définition du niveau de bénéfice raisonnable finalement retenu. Nous avons besoin pour cela d’une centaine d’établissements participants de toute spécialité et de toute taille.</w:t>
                              </w:r>
                              <w:r w:rsidRPr="006B2752">
                                <w:rPr>
                                  <w:rFonts w:ascii="Arial" w:hAnsi="Arial" w:cs="Arial"/>
                                  <w:color w:val="436999"/>
                                  <w:sz w:val="20"/>
                                  <w:szCs w:val="20"/>
                                </w:rPr>
                                <w:br/>
                              </w:r>
                              <w:r w:rsidRPr="006B2752">
                                <w:rPr>
                                  <w:rFonts w:ascii="Arial" w:hAnsi="Arial" w:cs="Arial"/>
                                  <w:color w:val="436999"/>
                                  <w:sz w:val="20"/>
                                  <w:szCs w:val="20"/>
                                </w:rPr>
                                <w:br/>
                                <w:t>Vous remerciant par avance de votre implication, nous vous prions d’agréer, Cher Adhérent, nos salutations amicales et dévouées.</w:t>
                              </w:r>
                            </w:p>
                            <w:p w:rsidR="00F4797E" w:rsidRPr="006B2752" w:rsidRDefault="00F4797E" w:rsidP="00F4797E">
                              <w:pPr>
                                <w:spacing w:after="240"/>
                                <w:rPr>
                                  <w:rFonts w:ascii="Arial" w:eastAsia="Times New Roman" w:hAnsi="Arial" w:cs="Arial"/>
                                  <w:color w:val="436999"/>
                                  <w:sz w:val="20"/>
                                  <w:szCs w:val="20"/>
                                </w:rPr>
                              </w:pPr>
                              <w:r w:rsidRPr="006B2752">
                                <w:rPr>
                                  <w:rFonts w:ascii="Arial" w:eastAsia="Times New Roman" w:hAnsi="Arial" w:cs="Arial"/>
                                  <w:color w:val="436999"/>
                                  <w:sz w:val="20"/>
                                  <w:szCs w:val="20"/>
                                </w:rPr>
                                <w:br/>
                              </w:r>
                              <w:r w:rsidRPr="006B2752">
                                <w:rPr>
                                  <w:rFonts w:ascii="Arial" w:eastAsia="Times New Roman" w:hAnsi="Arial" w:cs="Arial"/>
                                  <w:color w:val="436999"/>
                                  <w:sz w:val="20"/>
                                  <w:szCs w:val="20"/>
                                </w:rPr>
                                <w:fldChar w:fldCharType="begin"/>
                              </w:r>
                              <w:r w:rsidRPr="006B2752">
                                <w:rPr>
                                  <w:rFonts w:ascii="Arial" w:eastAsia="Times New Roman" w:hAnsi="Arial" w:cs="Arial"/>
                                  <w:color w:val="436999"/>
                                  <w:sz w:val="20"/>
                                  <w:szCs w:val="20"/>
                                </w:rPr>
                                <w:instrText xml:space="preserve"> INCLUDEPICTURE "http://www.fhp.fr/fichiers/20130916120112_A_telecharger.jpg" \* MERGEFORMATINET </w:instrText>
                              </w:r>
                              <w:r w:rsidRPr="006B2752">
                                <w:rPr>
                                  <w:rFonts w:ascii="Arial" w:eastAsia="Times New Roman" w:hAnsi="Arial" w:cs="Arial"/>
                                  <w:color w:val="436999"/>
                                  <w:sz w:val="20"/>
                                  <w:szCs w:val="20"/>
                                </w:rPr>
                                <w:fldChar w:fldCharType="separate"/>
                              </w:r>
                              <w:r w:rsidRPr="006B2752">
                                <w:rPr>
                                  <w:rFonts w:ascii="Arial" w:eastAsia="Times New Roman" w:hAnsi="Arial" w:cs="Arial"/>
                                  <w:color w:val="436999"/>
                                  <w:sz w:val="20"/>
                                  <w:szCs w:val="20"/>
                                </w:rPr>
                                <w:pict w14:anchorId="537727B4">
                                  <v:shape id="_x0000_i1078" type="#_x0000_t75" alt="" style="width:172.5pt;height:33pt">
                                    <v:imagedata r:id="rId11" r:href="rId12"/>
                                  </v:shape>
                                </w:pict>
                              </w:r>
                              <w:r w:rsidRPr="006B2752">
                                <w:rPr>
                                  <w:rFonts w:ascii="Arial" w:eastAsia="Times New Roman" w:hAnsi="Arial" w:cs="Arial"/>
                                  <w:color w:val="436999"/>
                                  <w:sz w:val="20"/>
                                  <w:szCs w:val="20"/>
                                </w:rPr>
                                <w:fldChar w:fldCharType="end"/>
                              </w:r>
                            </w:p>
                            <w:p w:rsidR="00F4797E" w:rsidRPr="006B2752" w:rsidRDefault="00F4797E" w:rsidP="00F4797E">
                              <w:pPr>
                                <w:numPr>
                                  <w:ilvl w:val="0"/>
                                  <w:numId w:val="3"/>
                                </w:numPr>
                                <w:spacing w:before="100" w:beforeAutospacing="1" w:after="100" w:afterAutospacing="1"/>
                                <w:rPr>
                                  <w:rFonts w:ascii="Arial" w:eastAsia="Times New Roman" w:hAnsi="Arial" w:cs="Arial"/>
                                  <w:color w:val="436999"/>
                                  <w:sz w:val="20"/>
                                  <w:szCs w:val="20"/>
                                </w:rPr>
                              </w:pPr>
                              <w:hyperlink r:id="rId13" w:history="1">
                                <w:r w:rsidRPr="006B2752">
                                  <w:rPr>
                                    <w:rStyle w:val="Lienhypertexte"/>
                                    <w:rFonts w:ascii="Arial" w:eastAsia="Times New Roman" w:hAnsi="Arial" w:cs="Arial"/>
                                    <w:sz w:val="20"/>
                                    <w:szCs w:val="20"/>
                                  </w:rPr>
                                  <w:t>Guide d'utilisation ATIH</w:t>
                                </w:r>
                              </w:hyperlink>
                              <w:r w:rsidRPr="006B2752">
                                <w:rPr>
                                  <w:rFonts w:ascii="Arial" w:eastAsia="Times New Roman" w:hAnsi="Arial" w:cs="Arial"/>
                                  <w:color w:val="436999"/>
                                  <w:sz w:val="20"/>
                                  <w:szCs w:val="20"/>
                                </w:rPr>
                                <w:t>,</w:t>
                              </w:r>
                            </w:p>
                            <w:p w:rsidR="00F4797E" w:rsidRPr="006B2752" w:rsidRDefault="00F4797E" w:rsidP="00F4797E">
                              <w:pPr>
                                <w:numPr>
                                  <w:ilvl w:val="0"/>
                                  <w:numId w:val="3"/>
                                </w:numPr>
                                <w:spacing w:before="100" w:beforeAutospacing="1" w:after="100" w:afterAutospacing="1"/>
                                <w:rPr>
                                  <w:rFonts w:ascii="Arial" w:eastAsia="Times New Roman" w:hAnsi="Arial" w:cs="Arial"/>
                                  <w:color w:val="436999"/>
                                  <w:sz w:val="20"/>
                                  <w:szCs w:val="20"/>
                                </w:rPr>
                              </w:pPr>
                              <w:hyperlink r:id="rId14" w:history="1">
                                <w:r w:rsidRPr="006B2752">
                                  <w:rPr>
                                    <w:rStyle w:val="Lienhypertexte"/>
                                    <w:rFonts w:ascii="Arial" w:eastAsia="Times New Roman" w:hAnsi="Arial" w:cs="Arial"/>
                                    <w:sz w:val="20"/>
                                    <w:szCs w:val="20"/>
                                  </w:rPr>
                                  <w:t>Maquette comptable</w:t>
                                </w:r>
                              </w:hyperlink>
                              <w:r w:rsidRPr="006B2752">
                                <w:rPr>
                                  <w:rFonts w:ascii="Arial" w:eastAsia="Times New Roman" w:hAnsi="Arial" w:cs="Arial"/>
                                  <w:color w:val="436999"/>
                                  <w:sz w:val="20"/>
                                  <w:szCs w:val="20"/>
                                </w:rPr>
                                <w:t>.</w:t>
                              </w:r>
                            </w:p>
                          </w:tc>
                        </w:tr>
                      </w:tbl>
                      <w:p w:rsidR="00F4797E" w:rsidRPr="006B2752" w:rsidRDefault="00F4797E" w:rsidP="00F4797E">
                        <w:pPr>
                          <w:rPr>
                            <w:rFonts w:eastAsia="Times New Roman"/>
                            <w:sz w:val="20"/>
                            <w:szCs w:val="20"/>
                          </w:rPr>
                        </w:pPr>
                      </w:p>
                    </w:tc>
                  </w:tr>
                  <w:tr w:rsidR="00F4797E" w:rsidRPr="006B2752">
                    <w:trPr>
                      <w:tblCellSpacing w:w="0" w:type="dxa"/>
                    </w:trPr>
                    <w:tc>
                      <w:tcPr>
                        <w:tcW w:w="0" w:type="auto"/>
                        <w:shd w:val="clear" w:color="auto" w:fill="F8F8F8"/>
                        <w:tcMar>
                          <w:top w:w="0" w:type="dxa"/>
                          <w:left w:w="0" w:type="dxa"/>
                          <w:bottom w:w="225" w:type="dxa"/>
                          <w:right w:w="150" w:type="dxa"/>
                        </w:tcMar>
                        <w:vAlign w:val="center"/>
                        <w:hideMark/>
                      </w:tcPr>
                      <w:p w:rsidR="00F4797E" w:rsidRPr="006B2752" w:rsidRDefault="00F4797E" w:rsidP="00F4797E">
                        <w:pPr>
                          <w:jc w:val="right"/>
                          <w:rPr>
                            <w:rFonts w:ascii="Arial" w:eastAsia="Times New Roman" w:hAnsi="Arial" w:cs="Arial"/>
                            <w:b/>
                            <w:bCs/>
                            <w:color w:val="013E6A"/>
                            <w:sz w:val="18"/>
                            <w:szCs w:val="18"/>
                          </w:rPr>
                        </w:pPr>
                        <w:r w:rsidRPr="006B2752">
                          <w:rPr>
                            <w:rFonts w:ascii="Arial" w:eastAsia="Times New Roman" w:hAnsi="Arial" w:cs="Arial"/>
                            <w:b/>
                            <w:bCs/>
                            <w:color w:val="013E6A"/>
                            <w:sz w:val="18"/>
                            <w:szCs w:val="18"/>
                          </w:rPr>
                          <w:lastRenderedPageBreak/>
                          <w:t>Elisabeth TOMÉ-GERTHEINRICHS</w:t>
                        </w:r>
                        <w:r w:rsidRPr="006B2752">
                          <w:rPr>
                            <w:rFonts w:ascii="Arial" w:eastAsia="Times New Roman" w:hAnsi="Arial" w:cs="Arial"/>
                            <w:b/>
                            <w:bCs/>
                            <w:color w:val="013E6A"/>
                            <w:sz w:val="18"/>
                            <w:szCs w:val="18"/>
                          </w:rPr>
                          <w:br/>
                          <w:t>Déléguée Générale</w:t>
                        </w:r>
                      </w:p>
                    </w:tc>
                  </w:tr>
                  <w:tr w:rsidR="00F4797E" w:rsidRPr="006B2752">
                    <w:trPr>
                      <w:tblCellSpacing w:w="0" w:type="dxa"/>
                    </w:trPr>
                    <w:tc>
                      <w:tcPr>
                        <w:tcW w:w="0" w:type="auto"/>
                        <w:shd w:val="clear" w:color="auto" w:fill="CEE8FD"/>
                        <w:vAlign w:val="center"/>
                        <w:hideMark/>
                      </w:tcPr>
                      <w:tbl>
                        <w:tblPr>
                          <w:tblW w:w="5000" w:type="pct"/>
                          <w:tblCellSpacing w:w="0" w:type="dxa"/>
                          <w:tblCellMar>
                            <w:left w:w="150" w:type="dxa"/>
                            <w:bottom w:w="150" w:type="dxa"/>
                            <w:right w:w="0" w:type="dxa"/>
                          </w:tblCellMar>
                          <w:tblLook w:val="04A0" w:firstRow="1" w:lastRow="0" w:firstColumn="1" w:lastColumn="0" w:noHBand="0" w:noVBand="1"/>
                        </w:tblPr>
                        <w:tblGrid>
                          <w:gridCol w:w="6750"/>
                          <w:gridCol w:w="2250"/>
                        </w:tblGrid>
                        <w:tr w:rsidR="00F4797E" w:rsidRPr="006B2752">
                          <w:trPr>
                            <w:tblCellSpacing w:w="0" w:type="dxa"/>
                          </w:trPr>
                          <w:tc>
                            <w:tcPr>
                              <w:tcW w:w="0" w:type="auto"/>
                              <w:gridSpan w:val="2"/>
                              <w:vAlign w:val="center"/>
                              <w:hideMark/>
                            </w:tcPr>
                            <w:p w:rsidR="00F4797E" w:rsidRPr="006B2752" w:rsidRDefault="00F4797E" w:rsidP="00F4797E">
                              <w:pPr>
                                <w:rPr>
                                  <w:rFonts w:ascii="Arial" w:eastAsia="Times New Roman" w:hAnsi="Arial" w:cs="Arial"/>
                                  <w:color w:val="013E6A"/>
                                  <w:sz w:val="18"/>
                                  <w:szCs w:val="18"/>
                                </w:rPr>
                              </w:pPr>
                              <w:r w:rsidRPr="006B2752">
                                <w:rPr>
                                  <w:rFonts w:ascii="Arial" w:eastAsia="Times New Roman" w:hAnsi="Arial" w:cs="Arial"/>
                                  <w:color w:val="013E6A"/>
                                  <w:sz w:val="18"/>
                                  <w:szCs w:val="18"/>
                                </w:rPr>
                                <w:fldChar w:fldCharType="begin"/>
                              </w:r>
                              <w:r w:rsidRPr="006B2752">
                                <w:rPr>
                                  <w:rFonts w:ascii="Arial" w:eastAsia="Times New Roman" w:hAnsi="Arial" w:cs="Arial"/>
                                  <w:color w:val="013E6A"/>
                                  <w:sz w:val="18"/>
                                  <w:szCs w:val="18"/>
                                </w:rPr>
                                <w:instrText xml:space="preserve"> INCLUDEPICTURE "http://www.fhp.dauphin.makoa.fr/images/emailing/fhp-footerlogo.gif" \* MERGEFORMATINET </w:instrText>
                              </w:r>
                              <w:r w:rsidRPr="006B2752">
                                <w:rPr>
                                  <w:rFonts w:ascii="Arial" w:eastAsia="Times New Roman" w:hAnsi="Arial" w:cs="Arial"/>
                                  <w:color w:val="013E6A"/>
                                  <w:sz w:val="18"/>
                                  <w:szCs w:val="18"/>
                                </w:rPr>
                                <w:fldChar w:fldCharType="separate"/>
                              </w:r>
                              <w:r w:rsidRPr="006B2752">
                                <w:rPr>
                                  <w:rFonts w:ascii="Arial" w:eastAsia="Times New Roman" w:hAnsi="Arial" w:cs="Arial"/>
                                  <w:color w:val="013E6A"/>
                                  <w:sz w:val="18"/>
                                  <w:szCs w:val="18"/>
                                </w:rPr>
                                <w:pict w14:anchorId="1D3AF65D">
                                  <v:shape id="_x0000_i1079" type="#_x0000_t75" alt="" style="width:324.75pt;height:35.25pt">
                                    <v:imagedata r:id="rId15" r:href="rId16"/>
                                  </v:shape>
                                </w:pict>
                              </w:r>
                              <w:r w:rsidRPr="006B2752">
                                <w:rPr>
                                  <w:rFonts w:ascii="Arial" w:eastAsia="Times New Roman" w:hAnsi="Arial" w:cs="Arial"/>
                                  <w:color w:val="013E6A"/>
                                  <w:sz w:val="18"/>
                                  <w:szCs w:val="18"/>
                                </w:rPr>
                                <w:fldChar w:fldCharType="end"/>
                              </w:r>
                            </w:p>
                          </w:tc>
                        </w:tr>
                        <w:tr w:rsidR="00F4797E" w:rsidRPr="006B2752">
                          <w:trPr>
                            <w:tblCellSpacing w:w="0" w:type="dxa"/>
                          </w:trPr>
                          <w:tc>
                            <w:tcPr>
                              <w:tcW w:w="3750" w:type="pct"/>
                              <w:vAlign w:val="center"/>
                              <w:hideMark/>
                            </w:tcPr>
                            <w:p w:rsidR="00F4797E" w:rsidRPr="006B2752" w:rsidRDefault="00F4797E" w:rsidP="00F4797E">
                              <w:pPr>
                                <w:rPr>
                                  <w:rFonts w:ascii="Arial" w:eastAsia="Times New Roman" w:hAnsi="Arial" w:cs="Arial"/>
                                  <w:color w:val="013E6A"/>
                                  <w:sz w:val="18"/>
                                  <w:szCs w:val="18"/>
                                </w:rPr>
                              </w:pPr>
                              <w:r w:rsidRPr="006B2752">
                                <w:rPr>
                                  <w:rStyle w:val="lev"/>
                                  <w:rFonts w:ascii="Arial" w:eastAsia="Times New Roman" w:hAnsi="Arial" w:cs="Arial"/>
                                  <w:color w:val="013E6A"/>
                                  <w:sz w:val="18"/>
                                  <w:szCs w:val="18"/>
                                </w:rPr>
                                <w:t>Contact : Direction de la Prospective économique, médicale et juridique</w:t>
                              </w:r>
                              <w:r w:rsidRPr="006B2752">
                                <w:rPr>
                                  <w:rFonts w:ascii="Arial" w:eastAsia="Times New Roman" w:hAnsi="Arial" w:cs="Arial"/>
                                  <w:color w:val="013E6A"/>
                                  <w:sz w:val="18"/>
                                  <w:szCs w:val="18"/>
                                </w:rPr>
                                <w:br/>
                              </w:r>
                              <w:r w:rsidRPr="006B2752">
                                <w:rPr>
                                  <w:rStyle w:val="lev"/>
                                  <w:rFonts w:ascii="Arial" w:eastAsia="Times New Roman" w:hAnsi="Arial" w:cs="Arial"/>
                                  <w:color w:val="013E6A"/>
                                  <w:sz w:val="18"/>
                                  <w:szCs w:val="18"/>
                                </w:rPr>
                                <w:t>Emmanuel DAYDOU</w:t>
                              </w:r>
                              <w:r w:rsidRPr="006B2752">
                                <w:rPr>
                                  <w:rFonts w:ascii="Arial" w:eastAsia="Times New Roman" w:hAnsi="Arial" w:cs="Arial"/>
                                  <w:color w:val="013E6A"/>
                                  <w:sz w:val="18"/>
                                  <w:szCs w:val="18"/>
                                </w:rPr>
                                <w:br/>
                                <w:t xml:space="preserve">Tél : 01 53 83 56 56 - </w:t>
                              </w:r>
                              <w:hyperlink r:id="rId17" w:history="1">
                                <w:r w:rsidRPr="006B2752">
                                  <w:rPr>
                                    <w:rStyle w:val="Lienhypertexte"/>
                                    <w:rFonts w:ascii="Arial" w:eastAsia="Times New Roman" w:hAnsi="Arial" w:cs="Arial"/>
                                    <w:sz w:val="15"/>
                                    <w:szCs w:val="15"/>
                                  </w:rPr>
                                  <w:t>emmanuel.daydou@fhp.fr</w:t>
                                </w:r>
                              </w:hyperlink>
                            </w:p>
                          </w:tc>
                          <w:tc>
                            <w:tcPr>
                              <w:tcW w:w="1250" w:type="pct"/>
                              <w:tcMar>
                                <w:top w:w="0" w:type="dxa"/>
                                <w:left w:w="150" w:type="dxa"/>
                                <w:bottom w:w="300" w:type="dxa"/>
                                <w:right w:w="150" w:type="dxa"/>
                              </w:tcMar>
                              <w:vAlign w:val="bottom"/>
                              <w:hideMark/>
                            </w:tcPr>
                            <w:p w:rsidR="00F4797E" w:rsidRPr="006B2752" w:rsidRDefault="00F4797E" w:rsidP="00F4797E">
                              <w:pPr>
                                <w:jc w:val="right"/>
                                <w:rPr>
                                  <w:rFonts w:ascii="Arial" w:eastAsia="Times New Roman" w:hAnsi="Arial" w:cs="Arial"/>
                                  <w:color w:val="013E6A"/>
                                  <w:sz w:val="18"/>
                                  <w:szCs w:val="18"/>
                                </w:rPr>
                              </w:pPr>
                              <w:hyperlink r:id="rId18" w:history="1">
                                <w:r w:rsidRPr="006B2752">
                                  <w:rPr>
                                    <w:rStyle w:val="Lienhypertexte"/>
                                    <w:rFonts w:ascii="Arial" w:eastAsia="Times New Roman" w:hAnsi="Arial" w:cs="Arial"/>
                                    <w:color w:val="013E6A"/>
                                    <w:sz w:val="15"/>
                                    <w:szCs w:val="15"/>
                                  </w:rPr>
                                  <w:t>Aller sur le site de la FHP</w:t>
                                </w:r>
                              </w:hyperlink>
                            </w:p>
                          </w:tc>
                        </w:tr>
                      </w:tbl>
                      <w:p w:rsidR="00F4797E" w:rsidRPr="006B2752" w:rsidRDefault="00F4797E" w:rsidP="00F4797E">
                        <w:pPr>
                          <w:rPr>
                            <w:rFonts w:eastAsia="Times New Roman"/>
                            <w:sz w:val="20"/>
                            <w:szCs w:val="20"/>
                          </w:rPr>
                        </w:pPr>
                      </w:p>
                    </w:tc>
                  </w:tr>
                </w:tbl>
                <w:p w:rsidR="00F4797E" w:rsidRPr="006B2752" w:rsidRDefault="00F4797E" w:rsidP="00F4797E">
                  <w:pPr>
                    <w:rPr>
                      <w:rFonts w:eastAsia="Times New Roman"/>
                      <w:sz w:val="20"/>
                      <w:szCs w:val="20"/>
                    </w:rPr>
                  </w:pPr>
                </w:p>
              </w:tc>
            </w:tr>
          </w:tbl>
          <w:p w:rsidR="00F4797E" w:rsidRDefault="00F4797E" w:rsidP="00F4797E">
            <w:r w:rsidRPr="00F4797E">
              <w:rPr>
                <w:rFonts w:eastAsia="Times New Roman"/>
                <w:sz w:val="2"/>
                <w:szCs w:val="2"/>
              </w:rPr>
              <w:lastRenderedPageBreak/>
              <w:t>http://trackmail.fhp.fr/unsub?hl=en&amp;a=nsb5Hk&amp;b=6e88cb37&amp;c=026k&amp;d=ed71f8ca&amp;e=11</w:t>
            </w:r>
            <w:r>
              <w:rPr>
                <w:rFonts w:eastAsia="Times New Roman"/>
                <w:sz w:val="2"/>
                <w:szCs w:val="2"/>
              </w:rPr>
              <w:t>86e8b3&amp;email=fhpssr%40fhp-ssr.f</w:t>
            </w:r>
          </w:p>
        </w:tc>
        <w:bookmarkStart w:id="0" w:name="_GoBack"/>
        <w:bookmarkEnd w:id="0"/>
      </w:tr>
    </w:tbl>
    <w:p w:rsidR="00B52246" w:rsidRDefault="00B52246"/>
    <w:sectPr w:rsidR="00B52246" w:rsidSect="00F4797E">
      <w:pgSz w:w="11906" w:h="16838"/>
      <w:pgMar w:top="680"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C01D9"/>
    <w:multiLevelType w:val="multilevel"/>
    <w:tmpl w:val="45A07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73A59"/>
    <w:multiLevelType w:val="multilevel"/>
    <w:tmpl w:val="2F287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A68ED"/>
    <w:multiLevelType w:val="multilevel"/>
    <w:tmpl w:val="2A707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35"/>
    <w:rsid w:val="00801162"/>
    <w:rsid w:val="00B52246"/>
    <w:rsid w:val="00C77A35"/>
    <w:rsid w:val="00F47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97ACB40-3D00-420A-A973-9D5FEA87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6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01162"/>
    <w:rPr>
      <w:color w:val="0000FF"/>
      <w:u w:val="single"/>
    </w:rPr>
  </w:style>
  <w:style w:type="paragraph" w:styleId="NormalWeb">
    <w:name w:val="Normal (Web)"/>
    <w:basedOn w:val="Normal"/>
    <w:uiPriority w:val="99"/>
    <w:semiHidden/>
    <w:unhideWhenUsed/>
    <w:rsid w:val="00801162"/>
    <w:pPr>
      <w:spacing w:before="100" w:beforeAutospacing="1" w:after="100" w:afterAutospacing="1"/>
    </w:pPr>
  </w:style>
  <w:style w:type="character" w:styleId="lev">
    <w:name w:val="Strong"/>
    <w:basedOn w:val="Policepardfaut"/>
    <w:uiPriority w:val="22"/>
    <w:qFormat/>
    <w:rsid w:val="00801162"/>
    <w:rPr>
      <w:b/>
      <w:bCs/>
    </w:rPr>
  </w:style>
  <w:style w:type="character" w:styleId="Lienhypertextesuivivisit">
    <w:name w:val="FollowedHyperlink"/>
    <w:basedOn w:val="Policepardfaut"/>
    <w:uiPriority w:val="99"/>
    <w:semiHidden/>
    <w:unhideWhenUsed/>
    <w:rsid w:val="00801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24522">
      <w:bodyDiv w:val="1"/>
      <w:marLeft w:val="0"/>
      <w:marRight w:val="0"/>
      <w:marTop w:val="0"/>
      <w:marBottom w:val="0"/>
      <w:divBdr>
        <w:top w:val="none" w:sz="0" w:space="0" w:color="auto"/>
        <w:left w:val="none" w:sz="0" w:space="0" w:color="auto"/>
        <w:bottom w:val="none" w:sz="0" w:space="0" w:color="auto"/>
        <w:right w:val="none" w:sz="0" w:space="0" w:color="auto"/>
      </w:divBdr>
    </w:div>
    <w:div w:id="18641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p.fr/fichiers/20160728155044_Maquette_comptable__controle_des_surcompensations__PCG__v10envoi.xlsx" TargetMode="External"/><Relationship Id="rId13" Type="http://schemas.openxmlformats.org/officeDocument/2006/relationships/hyperlink" Target="http://www.fhp.fr/fichiers/20160729094203_Guide_maquette_outil.docx" TargetMode="External"/><Relationship Id="rId18" Type="http://schemas.openxmlformats.org/officeDocument/2006/relationships/hyperlink" Target="http://www.fhp.fr" TargetMode="External"/><Relationship Id="rId3" Type="http://schemas.openxmlformats.org/officeDocument/2006/relationships/settings" Target="settings.xml"/><Relationship Id="rId7" Type="http://schemas.openxmlformats.org/officeDocument/2006/relationships/hyperlink" Target="mailto:FR-FMFHPSIEG@Kpmg.fr" TargetMode="External"/><Relationship Id="rId12" Type="http://schemas.openxmlformats.org/officeDocument/2006/relationships/image" Target="http://www.fhp.fr/fichiers/20130916120112_A_telecharger.jpg" TargetMode="External"/><Relationship Id="rId17" Type="http://schemas.openxmlformats.org/officeDocument/2006/relationships/hyperlink" Target="mailto:emmanuel.daydou@fhp.fr?subject=Mise%20en%20&#339;uvre%20d&#8217;un%20test%20anonymis&#233;%20du%20dispositif%20SIEG%20sur%20les%20donn&#233;es%20comptables%202015%20" TargetMode="External"/><Relationship Id="rId2" Type="http://schemas.openxmlformats.org/officeDocument/2006/relationships/styles" Target="styles.xml"/><Relationship Id="rId16" Type="http://schemas.openxmlformats.org/officeDocument/2006/relationships/image" Target="http://www.fhp.dauphin.makoa.fr/images/emailing/fhp-footerlogo.g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fhp.fr/images/emailing/header_flash.jpg"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3.gif"/><Relationship Id="rId10" Type="http://schemas.openxmlformats.org/officeDocument/2006/relationships/hyperlink" Target="mailto:FR-FMFHPSIEG@Kpmg.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hp.fr/fichiers/20160729094203_Guide_maquette_outil.docx" TargetMode="External"/><Relationship Id="rId14" Type="http://schemas.openxmlformats.org/officeDocument/2006/relationships/hyperlink" Target="http://www.fhp.fr/fichiers/20160728155044_Maquette_comptable__controle_des_surcompensations__PCG__v10envoi.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969</Words>
  <Characters>5334</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3</cp:revision>
  <dcterms:created xsi:type="dcterms:W3CDTF">2016-09-14T09:48:00Z</dcterms:created>
  <dcterms:modified xsi:type="dcterms:W3CDTF">2016-09-14T09:58:00Z</dcterms:modified>
</cp:coreProperties>
</file>