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D090B" w:rsidTr="00FD090B">
        <w:trPr>
          <w:tblCellSpacing w:w="0" w:type="dxa"/>
          <w:jc w:val="center"/>
        </w:trPr>
        <w:tc>
          <w:tcPr>
            <w:tcW w:w="0" w:type="auto"/>
            <w:hideMark/>
          </w:tcPr>
          <w:p w:rsidR="00FD090B" w:rsidRDefault="00FD090B">
            <w:pPr>
              <w:rPr>
                <w:rFonts w:eastAsia="Times New Roman"/>
              </w:rPr>
            </w:pPr>
            <w:r>
              <w:rPr>
                <w:rFonts w:eastAsia="Times New Roman"/>
                <w:noProof/>
              </w:rPr>
              <w:drawing>
                <wp:inline distT="0" distB="0" distL="0" distR="0">
                  <wp:extent cx="5715000" cy="1285875"/>
                  <wp:effectExtent l="0" t="0" r="0" b="9525"/>
                  <wp:docPr id="3" name="Image 3" descr="F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85875"/>
                          </a:xfrm>
                          <a:prstGeom prst="rect">
                            <a:avLst/>
                          </a:prstGeom>
                          <a:noFill/>
                          <a:ln>
                            <a:noFill/>
                          </a:ln>
                        </pic:spPr>
                      </pic:pic>
                    </a:graphicData>
                  </a:graphic>
                </wp:inline>
              </w:drawing>
            </w:r>
          </w:p>
        </w:tc>
      </w:tr>
      <w:tr w:rsidR="00FD090B" w:rsidTr="00FD090B">
        <w:trPr>
          <w:tblCellSpacing w:w="0" w:type="dxa"/>
          <w:jc w:val="center"/>
        </w:trPr>
        <w:tc>
          <w:tcPr>
            <w:tcW w:w="0" w:type="auto"/>
          </w:tcPr>
          <w:p w:rsidR="00FD090B" w:rsidRDefault="00FD090B">
            <w:pPr>
              <w:rPr>
                <w:rFonts w:eastAsia="Times New Roman"/>
                <w:color w:val="436999"/>
                <w:sz w:val="20"/>
                <w:szCs w:val="20"/>
              </w:rPr>
            </w:pPr>
          </w:p>
          <w:tbl>
            <w:tblPr>
              <w:tblW w:w="9000" w:type="dxa"/>
              <w:tblCellSpacing w:w="0" w:type="dxa"/>
              <w:shd w:val="clear" w:color="auto" w:fill="F8F8F8"/>
              <w:tblCellMar>
                <w:left w:w="0" w:type="dxa"/>
                <w:right w:w="0" w:type="dxa"/>
              </w:tblCellMar>
              <w:tblLook w:val="04A0" w:firstRow="1" w:lastRow="0" w:firstColumn="1" w:lastColumn="0" w:noHBand="0" w:noVBand="1"/>
            </w:tblPr>
            <w:tblGrid>
              <w:gridCol w:w="9000"/>
            </w:tblGrid>
            <w:tr w:rsidR="00FD090B">
              <w:trPr>
                <w:tblCellSpacing w:w="0" w:type="dxa"/>
              </w:trPr>
              <w:tc>
                <w:tcPr>
                  <w:tcW w:w="0" w:type="auto"/>
                  <w:shd w:val="clear" w:color="auto" w:fill="F8F8F8"/>
                  <w:tcMar>
                    <w:top w:w="300" w:type="dxa"/>
                    <w:left w:w="150" w:type="dxa"/>
                    <w:bottom w:w="225" w:type="dxa"/>
                    <w:right w:w="150" w:type="dxa"/>
                  </w:tcMar>
                  <w:vAlign w:val="center"/>
                  <w:hideMark/>
                </w:tcPr>
                <w:p w:rsidR="00FD090B" w:rsidRDefault="00FD090B">
                  <w:pPr>
                    <w:rPr>
                      <w:rFonts w:ascii="Arial" w:eastAsia="Times New Roman" w:hAnsi="Arial" w:cs="Arial"/>
                      <w:color w:val="013E6A"/>
                      <w:sz w:val="18"/>
                      <w:szCs w:val="18"/>
                    </w:rPr>
                  </w:pPr>
                  <w:r>
                    <w:rPr>
                      <w:rStyle w:val="lev"/>
                      <w:rFonts w:ascii="Arial" w:eastAsia="Times New Roman" w:hAnsi="Arial" w:cs="Arial"/>
                      <w:color w:val="013E6A"/>
                      <w:sz w:val="18"/>
                      <w:szCs w:val="18"/>
                    </w:rPr>
                    <w:t>Mercredi 10 mai 2017</w:t>
                  </w:r>
                  <w:r>
                    <w:rPr>
                      <w:rFonts w:ascii="Arial" w:eastAsia="Times New Roman" w:hAnsi="Arial" w:cs="Arial"/>
                      <w:color w:val="013E6A"/>
                      <w:sz w:val="18"/>
                      <w:szCs w:val="18"/>
                    </w:rPr>
                    <w:t xml:space="preserve"> </w:t>
                  </w:r>
                  <w:r>
                    <w:rPr>
                      <w:rFonts w:ascii="Arial" w:eastAsia="Times New Roman" w:hAnsi="Arial" w:cs="Arial"/>
                      <w:color w:val="013E6A"/>
                      <w:sz w:val="18"/>
                      <w:szCs w:val="18"/>
                    </w:rPr>
                    <w:br/>
                    <w:t xml:space="preserve">Réf. : 0138-2017 </w:t>
                  </w:r>
                </w:p>
              </w:tc>
            </w:tr>
            <w:tr w:rsidR="00FD090B">
              <w:trPr>
                <w:tblCellSpacing w:w="0" w:type="dxa"/>
              </w:trPr>
              <w:tc>
                <w:tcPr>
                  <w:tcW w:w="0" w:type="auto"/>
                  <w:shd w:val="clear" w:color="auto" w:fill="F8F8F8"/>
                  <w:tcMar>
                    <w:top w:w="300" w:type="dxa"/>
                    <w:left w:w="150" w:type="dxa"/>
                    <w:bottom w:w="225" w:type="dxa"/>
                    <w:right w:w="150" w:type="dxa"/>
                  </w:tcMar>
                  <w:vAlign w:val="center"/>
                  <w:hideMark/>
                </w:tcPr>
                <w:p w:rsidR="00FD090B" w:rsidRDefault="00FD090B">
                  <w:pPr>
                    <w:rPr>
                      <w:rFonts w:ascii="Arial" w:eastAsia="Times New Roman" w:hAnsi="Arial" w:cs="Arial"/>
                      <w:b/>
                      <w:bCs/>
                      <w:color w:val="5CC9F3"/>
                      <w:sz w:val="21"/>
                      <w:szCs w:val="21"/>
                    </w:rPr>
                  </w:pPr>
                  <w:r>
                    <w:rPr>
                      <w:rFonts w:ascii="Arial" w:eastAsia="Times New Roman" w:hAnsi="Arial" w:cs="Arial"/>
                      <w:b/>
                      <w:bCs/>
                      <w:color w:val="5CC9F3"/>
                      <w:sz w:val="21"/>
                      <w:szCs w:val="21"/>
                    </w:rPr>
                    <w:t xml:space="preserve">Informations juridiques </w:t>
                  </w:r>
                </w:p>
              </w:tc>
            </w:tr>
            <w:tr w:rsidR="00FD090B">
              <w:trPr>
                <w:tblCellSpacing w:w="0" w:type="dxa"/>
              </w:trPr>
              <w:tc>
                <w:tcPr>
                  <w:tcW w:w="0" w:type="auto"/>
                  <w:shd w:val="clear" w:color="auto" w:fill="F8F8F8"/>
                  <w:tcMar>
                    <w:top w:w="300" w:type="dxa"/>
                    <w:left w:w="150" w:type="dxa"/>
                    <w:bottom w:w="225" w:type="dxa"/>
                    <w:right w:w="150" w:type="dxa"/>
                  </w:tcMar>
                  <w:vAlign w:val="center"/>
                  <w:hideMark/>
                </w:tcPr>
                <w:p w:rsidR="00FD090B" w:rsidRDefault="00FD090B">
                  <w:pPr>
                    <w:jc w:val="center"/>
                    <w:rPr>
                      <w:rFonts w:ascii="Arial" w:eastAsia="Times New Roman" w:hAnsi="Arial" w:cs="Arial"/>
                      <w:b/>
                      <w:bCs/>
                      <w:color w:val="013E6A"/>
                      <w:sz w:val="39"/>
                      <w:szCs w:val="39"/>
                    </w:rPr>
                  </w:pPr>
                  <w:r>
                    <w:rPr>
                      <w:rFonts w:ascii="Arial" w:eastAsia="Times New Roman" w:hAnsi="Arial" w:cs="Arial"/>
                      <w:b/>
                      <w:bCs/>
                      <w:color w:val="013E6A"/>
                      <w:sz w:val="39"/>
                      <w:szCs w:val="39"/>
                    </w:rPr>
                    <w:t>Publication du Décret n° 2017-584 du 20 avril 2017 fixant les modalités d'application du contrat d'amélioration de la qualité et de l'efficience des soins</w:t>
                  </w:r>
                  <w:r>
                    <w:rPr>
                      <w:rFonts w:ascii="Arial" w:eastAsia="Times New Roman" w:hAnsi="Arial" w:cs="Arial"/>
                      <w:b/>
                      <w:bCs/>
                      <w:color w:val="013E6A"/>
                      <w:sz w:val="39"/>
                      <w:szCs w:val="39"/>
                    </w:rPr>
                    <w:br/>
                    <w:t>et de ses arrêtés</w:t>
                  </w:r>
                </w:p>
              </w:tc>
            </w:tr>
            <w:tr w:rsidR="00FD090B">
              <w:trPr>
                <w:tblCellSpacing w:w="0" w:type="dxa"/>
              </w:trPr>
              <w:tc>
                <w:tcPr>
                  <w:tcW w:w="0" w:type="auto"/>
                  <w:shd w:val="clear" w:color="auto" w:fill="F8F8F8"/>
                  <w:tcMar>
                    <w:top w:w="300" w:type="dxa"/>
                    <w:left w:w="150" w:type="dxa"/>
                    <w:bottom w:w="300" w:type="dxa"/>
                    <w:right w:w="150" w:type="dxa"/>
                  </w:tcMar>
                  <w:vAlign w:val="center"/>
                  <w:hideMark/>
                </w:tcPr>
                <w:tbl>
                  <w:tblPr>
                    <w:tblW w:w="0" w:type="auto"/>
                    <w:tblCellSpacing w:w="15" w:type="dxa"/>
                    <w:tblLook w:val="04A0" w:firstRow="1" w:lastRow="0" w:firstColumn="1" w:lastColumn="0" w:noHBand="0" w:noVBand="1"/>
                  </w:tblPr>
                  <w:tblGrid>
                    <w:gridCol w:w="8700"/>
                  </w:tblGrid>
                  <w:tr w:rsidR="00FD090B">
                    <w:trPr>
                      <w:tblCellSpacing w:w="15" w:type="dxa"/>
                    </w:trPr>
                    <w:tc>
                      <w:tcPr>
                        <w:tcW w:w="0" w:type="auto"/>
                        <w:tcMar>
                          <w:top w:w="15" w:type="dxa"/>
                          <w:left w:w="15" w:type="dxa"/>
                          <w:bottom w:w="15" w:type="dxa"/>
                          <w:right w:w="15" w:type="dxa"/>
                        </w:tcMar>
                        <w:vAlign w:val="center"/>
                      </w:tcPr>
                      <w:p w:rsidR="00FD090B" w:rsidRDefault="00FD090B">
                        <w:pPr>
                          <w:rPr>
                            <w:rFonts w:ascii="Arial" w:eastAsia="Times New Roman" w:hAnsi="Arial" w:cs="Arial"/>
                            <w:color w:val="1F497D"/>
                            <w:sz w:val="20"/>
                            <w:szCs w:val="20"/>
                          </w:rPr>
                        </w:pP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Chère Adhérente, Cher Adhérent,</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 xml:space="preserve">Le </w:t>
                        </w:r>
                        <w:hyperlink r:id="rId6" w:history="1">
                          <w:r>
                            <w:rPr>
                              <w:rStyle w:val="Lienhypertexte"/>
                              <w:rFonts w:ascii="Arial" w:hAnsi="Arial" w:cs="Arial"/>
                              <w:sz w:val="20"/>
                              <w:szCs w:val="20"/>
                            </w:rPr>
                            <w:t xml:space="preserve">décret </w:t>
                          </w:r>
                          <w:proofErr w:type="spellStart"/>
                          <w:r>
                            <w:rPr>
                              <w:rStyle w:val="Lienhypertexte"/>
                              <w:rFonts w:ascii="Arial" w:hAnsi="Arial" w:cs="Arial"/>
                              <w:sz w:val="20"/>
                              <w:szCs w:val="20"/>
                            </w:rPr>
                            <w:t>Caqes</w:t>
                          </w:r>
                          <w:proofErr w:type="spellEnd"/>
                        </w:hyperlink>
                        <w:r>
                          <w:rPr>
                            <w:rFonts w:ascii="Arial" w:hAnsi="Arial" w:cs="Arial"/>
                            <w:color w:val="1F497D"/>
                            <w:sz w:val="20"/>
                            <w:szCs w:val="20"/>
                          </w:rPr>
                          <w:t xml:space="preserve"> </w:t>
                        </w:r>
                        <w:r>
                          <w:rPr>
                            <w:rFonts w:ascii="Arial" w:hAnsi="Arial" w:cs="Arial"/>
                            <w:color w:val="002060"/>
                            <w:sz w:val="20"/>
                            <w:szCs w:val="20"/>
                          </w:rPr>
                          <w:t>et l’</w:t>
                        </w:r>
                        <w:hyperlink r:id="rId7" w:history="1">
                          <w:r>
                            <w:rPr>
                              <w:rStyle w:val="Lienhypertexte"/>
                              <w:rFonts w:ascii="Arial" w:hAnsi="Arial" w:cs="Arial"/>
                              <w:sz w:val="20"/>
                              <w:szCs w:val="20"/>
                            </w:rPr>
                            <w:t xml:space="preserve">arrêté </w:t>
                          </w:r>
                          <w:proofErr w:type="spellStart"/>
                          <w:r>
                            <w:rPr>
                              <w:rStyle w:val="Lienhypertexte"/>
                              <w:rFonts w:ascii="Arial" w:hAnsi="Arial" w:cs="Arial"/>
                              <w:sz w:val="20"/>
                              <w:szCs w:val="20"/>
                            </w:rPr>
                            <w:t>Caqes</w:t>
                          </w:r>
                          <w:proofErr w:type="spellEnd"/>
                        </w:hyperlink>
                        <w:r>
                          <w:rPr>
                            <w:rFonts w:ascii="Arial" w:hAnsi="Arial" w:cs="Arial"/>
                            <w:color w:val="002060"/>
                            <w:sz w:val="20"/>
                            <w:szCs w:val="20"/>
                          </w:rPr>
                          <w:t xml:space="preserve"> instauré par </w:t>
                        </w:r>
                        <w:hyperlink r:id="rId8" w:history="1">
                          <w:r>
                            <w:rPr>
                              <w:rStyle w:val="Lienhypertexte"/>
                              <w:rFonts w:ascii="Arial" w:hAnsi="Arial" w:cs="Arial"/>
                              <w:sz w:val="20"/>
                              <w:szCs w:val="20"/>
                            </w:rPr>
                            <w:t>l’article 81 de la Loi n° 2015-1702 du 21 décembre 2015</w:t>
                          </w:r>
                        </w:hyperlink>
                        <w:r>
                          <w:rPr>
                            <w:rFonts w:ascii="Arial" w:hAnsi="Arial" w:cs="Arial"/>
                            <w:color w:val="002060"/>
                            <w:sz w:val="20"/>
                            <w:szCs w:val="20"/>
                          </w:rPr>
                          <w:t xml:space="preserve"> de financement de la sécurité sociale pour 2016 viennent de paraitre.</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L’</w:t>
                        </w:r>
                        <w:hyperlink r:id="rId9" w:history="1">
                          <w:r>
                            <w:rPr>
                              <w:rStyle w:val="Lienhypertexte"/>
                              <w:rFonts w:ascii="Arial" w:hAnsi="Arial" w:cs="Arial"/>
                              <w:sz w:val="20"/>
                              <w:szCs w:val="20"/>
                            </w:rPr>
                            <w:t>arrêté du 27 avril 2017</w:t>
                          </w:r>
                        </w:hyperlink>
                        <w:r>
                          <w:rPr>
                            <w:rFonts w:ascii="Arial" w:hAnsi="Arial" w:cs="Arial"/>
                            <w:color w:val="002060"/>
                            <w:sz w:val="20"/>
                            <w:szCs w:val="20"/>
                          </w:rPr>
                          <w:t xml:space="preserve"> fixant les référentiels de pertinence, de qualité, de sécurité des soins ou de seuils, exprimés en volume ou en dépenses d'assurance maladie mentionnés à l'article L. 162-30-3 du code de la sécurité sociale vient compléter le dispositif.</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Vous trouverez en téléchargement du présent Flash, une note de synthèse (lien de la note) vous permettant de comprendre à la fois le dispositif.</w:t>
                        </w:r>
                        <w:r>
                          <w:rPr>
                            <w:rFonts w:ascii="Arial" w:hAnsi="Arial" w:cs="Arial"/>
                            <w:color w:val="1F497D"/>
                            <w:sz w:val="20"/>
                            <w:szCs w:val="20"/>
                          </w:rPr>
                          <w:t xml:space="preserve"> </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 xml:space="preserve">Pour toute question ou remontée d'observations le </w:t>
                        </w:r>
                        <w:proofErr w:type="spellStart"/>
                        <w:r>
                          <w:rPr>
                            <w:rFonts w:ascii="Arial" w:hAnsi="Arial" w:cs="Arial"/>
                            <w:color w:val="002060"/>
                            <w:sz w:val="20"/>
                            <w:szCs w:val="20"/>
                          </w:rPr>
                          <w:t>Caqes</w:t>
                        </w:r>
                        <w:proofErr w:type="spellEnd"/>
                        <w:r>
                          <w:rPr>
                            <w:rFonts w:ascii="Arial" w:hAnsi="Arial" w:cs="Arial"/>
                            <w:color w:val="002060"/>
                            <w:sz w:val="20"/>
                            <w:szCs w:val="20"/>
                          </w:rPr>
                          <w:t xml:space="preserve"> notre service juridique est à votre entière disposition. Vous pouvez le contacter soit par mail (</w:t>
                        </w:r>
                        <w:hyperlink r:id="rId10" w:history="1">
                          <w:r>
                            <w:rPr>
                              <w:rStyle w:val="Lienhypertexte"/>
                              <w:rFonts w:ascii="Arial" w:hAnsi="Arial" w:cs="Arial"/>
                              <w:sz w:val="20"/>
                              <w:szCs w:val="20"/>
                            </w:rPr>
                            <w:t>gregory.caumes@fhp.fr</w:t>
                          </w:r>
                        </w:hyperlink>
                        <w:r>
                          <w:rPr>
                            <w:rFonts w:ascii="Arial" w:hAnsi="Arial" w:cs="Arial"/>
                            <w:color w:val="002060"/>
                            <w:sz w:val="20"/>
                            <w:szCs w:val="20"/>
                          </w:rPr>
                          <w:t>) ou par téléphone (01 53 83 56 60).</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Nous vous souhaitons bonne lecture, et vous prions d'agréer, Chère Adhérente, Cher Adhérent, nos salutations amicales et dévouées.</w:t>
                        </w:r>
                      </w:p>
                      <w:p w:rsidR="00FD090B" w:rsidRDefault="00FD090B">
                        <w:pPr>
                          <w:rPr>
                            <w:rFonts w:ascii="Arial" w:eastAsia="Times New Roman" w:hAnsi="Arial" w:cs="Arial"/>
                            <w:b/>
                            <w:bCs/>
                            <w:color w:val="1F497D"/>
                            <w:sz w:val="20"/>
                            <w:szCs w:val="20"/>
                          </w:rPr>
                        </w:pPr>
                      </w:p>
                      <w:p w:rsidR="00FD090B" w:rsidRDefault="00FD090B">
                        <w:pPr>
                          <w:jc w:val="center"/>
                          <w:rPr>
                            <w:rFonts w:ascii="Arial" w:eastAsia="Times New Roman" w:hAnsi="Arial" w:cs="Arial"/>
                            <w:b/>
                            <w:bCs/>
                            <w:color w:val="1F497D"/>
                            <w:sz w:val="20"/>
                            <w:szCs w:val="20"/>
                          </w:rPr>
                        </w:pPr>
                        <w:r>
                          <w:rPr>
                            <w:rFonts w:ascii="Arial" w:eastAsia="Times New Roman" w:hAnsi="Arial" w:cs="Arial"/>
                            <w:b/>
                            <w:bCs/>
                            <w:color w:val="1F497D"/>
                            <w:sz w:val="20"/>
                            <w:szCs w:val="20"/>
                          </w:rPr>
                          <w:pict>
                            <v:rect id="_x0000_i1026" style="width:453.6pt;height:1.5pt" o:hralign="center" o:hrstd="t" o:hr="t" fillcolor="#a0a0a0" stroked="f"/>
                          </w:pict>
                        </w:r>
                      </w:p>
                      <w:p w:rsidR="00FD090B" w:rsidRDefault="00FD090B">
                        <w:pPr>
                          <w:spacing w:after="240"/>
                          <w:rPr>
                            <w:rFonts w:ascii="Arial" w:eastAsia="Times New Roman" w:hAnsi="Arial" w:cs="Arial"/>
                            <w:color w:val="1F497D"/>
                            <w:sz w:val="20"/>
                            <w:szCs w:val="20"/>
                          </w:rPr>
                        </w:pPr>
                        <w:r>
                          <w:rPr>
                            <w:rFonts w:ascii="Arial" w:eastAsia="Times New Roman" w:hAnsi="Arial" w:cs="Arial"/>
                            <w:b/>
                            <w:bCs/>
                            <w:color w:val="1F497D"/>
                            <w:sz w:val="20"/>
                            <w:szCs w:val="20"/>
                          </w:rPr>
                          <w:t xml:space="preserve">L'essentiel à retenir : </w:t>
                        </w:r>
                      </w:p>
                      <w:p w:rsidR="00FD090B" w:rsidRDefault="00FD090B">
                        <w:pPr>
                          <w:pStyle w:val="NormalWeb"/>
                          <w:jc w:val="both"/>
                          <w:rPr>
                            <w:rFonts w:ascii="Arial" w:hAnsi="Arial" w:cs="Arial"/>
                            <w:color w:val="1F497D"/>
                            <w:sz w:val="20"/>
                            <w:szCs w:val="20"/>
                          </w:rPr>
                        </w:pPr>
                        <w:r>
                          <w:rPr>
                            <w:rFonts w:ascii="Arial" w:hAnsi="Arial" w:cs="Arial"/>
                            <w:b/>
                            <w:bCs/>
                            <w:color w:val="FF0000"/>
                            <w:sz w:val="20"/>
                            <w:szCs w:val="20"/>
                          </w:rPr>
                          <w:t>Nature et objet du contrat d’amélioration de la qualité et de l’efficience des soins (</w:t>
                        </w:r>
                        <w:proofErr w:type="spellStart"/>
                        <w:r>
                          <w:rPr>
                            <w:rFonts w:ascii="Arial" w:hAnsi="Arial" w:cs="Arial"/>
                            <w:b/>
                            <w:bCs/>
                            <w:color w:val="FF0000"/>
                            <w:sz w:val="20"/>
                            <w:szCs w:val="20"/>
                          </w:rPr>
                          <w:t>Caqes</w:t>
                        </w:r>
                        <w:proofErr w:type="spellEnd"/>
                        <w:r>
                          <w:rPr>
                            <w:rFonts w:ascii="Arial" w:hAnsi="Arial" w:cs="Arial"/>
                            <w:b/>
                            <w:bCs/>
                            <w:color w:val="FF0000"/>
                            <w:sz w:val="20"/>
                            <w:szCs w:val="20"/>
                          </w:rPr>
                          <w:t>) :</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Il s’agit d’un contrat tripartite conclu entre le DGARS, le directeur de l’organisme local d’assurance maladie et le représentant légal de chaque établissement de santé.</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L’objet du contrat est d'améliorer la qualité, la sécurité et la pertinence des soins et des prescriptions et de permettre une diminution des dépenses de l'assurance maladie.</w:t>
                        </w:r>
                      </w:p>
                      <w:p w:rsidR="00FD090B" w:rsidRDefault="00FD090B">
                        <w:pPr>
                          <w:pStyle w:val="NormalWeb"/>
                          <w:jc w:val="both"/>
                          <w:rPr>
                            <w:rFonts w:ascii="Arial" w:hAnsi="Arial" w:cs="Arial"/>
                            <w:color w:val="1F497D"/>
                            <w:sz w:val="20"/>
                            <w:szCs w:val="20"/>
                          </w:rPr>
                        </w:pPr>
                        <w:r>
                          <w:rPr>
                            <w:rFonts w:ascii="Arial" w:hAnsi="Arial" w:cs="Arial"/>
                            <w:b/>
                            <w:bCs/>
                            <w:color w:val="FF0000"/>
                            <w:sz w:val="20"/>
                            <w:szCs w:val="20"/>
                          </w:rPr>
                          <w:t xml:space="preserve">Signataire du </w:t>
                        </w:r>
                        <w:proofErr w:type="spellStart"/>
                        <w:r>
                          <w:rPr>
                            <w:rFonts w:ascii="Arial" w:hAnsi="Arial" w:cs="Arial"/>
                            <w:b/>
                            <w:bCs/>
                            <w:color w:val="FF0000"/>
                            <w:sz w:val="20"/>
                            <w:szCs w:val="20"/>
                          </w:rPr>
                          <w:t>Caqes</w:t>
                        </w:r>
                        <w:proofErr w:type="spellEnd"/>
                        <w:r>
                          <w:rPr>
                            <w:rFonts w:ascii="Arial" w:hAnsi="Arial" w:cs="Arial"/>
                            <w:b/>
                            <w:bCs/>
                            <w:color w:val="FF0000"/>
                            <w:sz w:val="20"/>
                            <w:szCs w:val="20"/>
                          </w:rPr>
                          <w:t> ?</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Un contrat d'amélioration de la qualité et de l'efficience des soins est conclu entre le directeur général de l'agence régionale de santé, le directeur de l'organisme local d'assurance maladie et le représentant légal de chaque établissement de santé relevant de leur ressort géographique. Il a pour objet d'améliorer la qualité, la sécurité et la pertinence des soins et des prescriptions et de permettre une diminution des dépenses de l'assurance maladie.</w:t>
                        </w:r>
                      </w:p>
                      <w:p w:rsidR="00FD090B" w:rsidRDefault="00FD090B">
                        <w:pPr>
                          <w:pStyle w:val="NormalWeb"/>
                          <w:jc w:val="both"/>
                          <w:rPr>
                            <w:rFonts w:ascii="Arial" w:hAnsi="Arial" w:cs="Arial"/>
                            <w:color w:val="1F497D"/>
                            <w:sz w:val="20"/>
                            <w:szCs w:val="20"/>
                          </w:rPr>
                        </w:pPr>
                        <w:r>
                          <w:rPr>
                            <w:rFonts w:ascii="Arial" w:hAnsi="Arial" w:cs="Arial"/>
                            <w:b/>
                            <w:bCs/>
                            <w:color w:val="FF0000"/>
                            <w:sz w:val="20"/>
                            <w:szCs w:val="20"/>
                          </w:rPr>
                          <w:t>Composition du contrat :</w:t>
                        </w:r>
                        <w:r>
                          <w:rPr>
                            <w:rFonts w:ascii="Arial" w:hAnsi="Arial" w:cs="Arial"/>
                            <w:b/>
                            <w:bCs/>
                            <w:color w:val="1F497D"/>
                            <w:sz w:val="20"/>
                            <w:szCs w:val="20"/>
                          </w:rPr>
                          <w:t xml:space="preserve"> </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 xml:space="preserve">Ce contrat comporte : </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 xml:space="preserve">1° Un volet obligatoire relatif au bon usage des médicaments, des produits et des prestations ; </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2° Le cas échéant, un ou plusieurs volets additionnels conclus avec les établissements identifiés en application du plan d'actions pluriannuel régional d'amélioration de la pertinence des soins ou ne respectant pas, pour certains actes, prestations ou prescriptions des établissements de santé ou des professionnels y exerçant, un ou plusieurs référentiels de qualité, de sécurité des soins ou de seuils exprimés en volume ou en dépenses d'assurance maladie.</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Un contrat type est fixé par arrêté (lien de l’arrêté).</w:t>
                        </w:r>
                      </w:p>
                      <w:p w:rsidR="00FD090B" w:rsidRDefault="00FD090B">
                        <w:pPr>
                          <w:pStyle w:val="NormalWeb"/>
                          <w:jc w:val="both"/>
                          <w:rPr>
                            <w:rFonts w:ascii="Arial" w:hAnsi="Arial" w:cs="Arial"/>
                            <w:color w:val="1F497D"/>
                            <w:sz w:val="20"/>
                            <w:szCs w:val="20"/>
                          </w:rPr>
                        </w:pPr>
                        <w:r>
                          <w:rPr>
                            <w:rFonts w:ascii="Arial" w:hAnsi="Arial" w:cs="Arial"/>
                            <w:b/>
                            <w:bCs/>
                            <w:color w:val="FF0000"/>
                            <w:sz w:val="20"/>
                            <w:szCs w:val="20"/>
                          </w:rPr>
                          <w:t>CAQES fusionne plusieurs types de contrats :</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Les Contrats suivants sont fusionnés dans le CAQES :</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 xml:space="preserve">- Le contrat de bon usage du médicament (CBUM, durée 5 ans) </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 Le contrat pour l’amélioration de la qualité et de l’organisation des soins (</w:t>
                        </w:r>
                        <w:proofErr w:type="spellStart"/>
                        <w:r>
                          <w:rPr>
                            <w:rFonts w:ascii="Arial" w:hAnsi="Arial" w:cs="Arial"/>
                            <w:color w:val="002060"/>
                            <w:sz w:val="20"/>
                            <w:szCs w:val="20"/>
                          </w:rPr>
                          <w:t>Caqes</w:t>
                        </w:r>
                        <w:proofErr w:type="spellEnd"/>
                        <w:r>
                          <w:rPr>
                            <w:rFonts w:ascii="Arial" w:hAnsi="Arial" w:cs="Arial"/>
                            <w:color w:val="002060"/>
                            <w:sz w:val="20"/>
                            <w:szCs w:val="20"/>
                          </w:rPr>
                          <w:t>, durée 3 ans) sur les prescriptions hospitalières exécutées en ville de médicaments, de la liste des produits et prestations et les dépenses de transport</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 Le contrat de pertinence des soins (durée 2 ans)</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 Le contrat d’amélioration des pratiques en établissements de santé (Capes, durée 4 ans)</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 xml:space="preserve">Désormais, seuls les </w:t>
                        </w:r>
                        <w:proofErr w:type="spellStart"/>
                        <w:r>
                          <w:rPr>
                            <w:rFonts w:ascii="Arial" w:hAnsi="Arial" w:cs="Arial"/>
                            <w:color w:val="002060"/>
                            <w:sz w:val="20"/>
                            <w:szCs w:val="20"/>
                          </w:rPr>
                          <w:t>Caqes</w:t>
                        </w:r>
                        <w:proofErr w:type="spellEnd"/>
                        <w:r>
                          <w:rPr>
                            <w:rFonts w:ascii="Arial" w:hAnsi="Arial" w:cs="Arial"/>
                            <w:color w:val="002060"/>
                            <w:sz w:val="20"/>
                            <w:szCs w:val="20"/>
                          </w:rPr>
                          <w:t xml:space="preserve"> peuvent être conclus, les anciens contrats continuent de produire leurs effets jusqu’au 31 décembre 2017. Le </w:t>
                        </w:r>
                        <w:proofErr w:type="spellStart"/>
                        <w:r>
                          <w:rPr>
                            <w:rFonts w:ascii="Arial" w:hAnsi="Arial" w:cs="Arial"/>
                            <w:color w:val="002060"/>
                            <w:sz w:val="20"/>
                            <w:szCs w:val="20"/>
                          </w:rPr>
                          <w:t>Caqes</w:t>
                        </w:r>
                        <w:proofErr w:type="spellEnd"/>
                        <w:r>
                          <w:rPr>
                            <w:rFonts w:ascii="Arial" w:hAnsi="Arial" w:cs="Arial"/>
                            <w:color w:val="002060"/>
                            <w:sz w:val="20"/>
                            <w:szCs w:val="20"/>
                          </w:rPr>
                          <w:t xml:space="preserve"> doit être donc conclu au plus tard à cette date et produire ses effets au plus tard le 1</w:t>
                        </w:r>
                        <w:r>
                          <w:rPr>
                            <w:rFonts w:ascii="Arial" w:hAnsi="Arial" w:cs="Arial"/>
                            <w:color w:val="002060"/>
                            <w:sz w:val="20"/>
                            <w:szCs w:val="20"/>
                            <w:vertAlign w:val="superscript"/>
                          </w:rPr>
                          <w:t>er</w:t>
                        </w:r>
                        <w:r>
                          <w:rPr>
                            <w:rFonts w:ascii="Arial" w:hAnsi="Arial" w:cs="Arial"/>
                            <w:color w:val="002060"/>
                            <w:sz w:val="20"/>
                            <w:szCs w:val="20"/>
                          </w:rPr>
                          <w:t xml:space="preserve"> janvier 2018.</w:t>
                        </w:r>
                        <w:r>
                          <w:rPr>
                            <w:rFonts w:ascii="Arial" w:hAnsi="Arial" w:cs="Arial"/>
                            <w:color w:val="1F497D"/>
                            <w:sz w:val="20"/>
                            <w:szCs w:val="20"/>
                          </w:rPr>
                          <w:t xml:space="preserve"> </w:t>
                        </w:r>
                      </w:p>
                      <w:p w:rsidR="00FD090B" w:rsidRDefault="00FD090B">
                        <w:pPr>
                          <w:pStyle w:val="NormalWeb"/>
                          <w:jc w:val="both"/>
                          <w:rPr>
                            <w:rFonts w:ascii="Arial" w:hAnsi="Arial" w:cs="Arial"/>
                            <w:color w:val="1F497D"/>
                            <w:sz w:val="20"/>
                            <w:szCs w:val="20"/>
                          </w:rPr>
                        </w:pPr>
                        <w:r>
                          <w:rPr>
                            <w:rFonts w:ascii="Arial" w:hAnsi="Arial" w:cs="Arial"/>
                            <w:b/>
                            <w:bCs/>
                            <w:color w:val="FF0000"/>
                            <w:sz w:val="20"/>
                            <w:szCs w:val="20"/>
                          </w:rPr>
                          <w:t xml:space="preserve">Action de la FHP : </w:t>
                        </w:r>
                      </w:p>
                      <w:p w:rsidR="00FD090B" w:rsidRDefault="00FD090B">
                        <w:pPr>
                          <w:pStyle w:val="NormalWeb"/>
                          <w:ind w:left="720" w:hanging="360"/>
                          <w:jc w:val="both"/>
                          <w:rPr>
                            <w:rFonts w:ascii="Arial" w:hAnsi="Arial" w:cs="Arial"/>
                            <w:color w:val="1F497D"/>
                            <w:sz w:val="20"/>
                            <w:szCs w:val="20"/>
                          </w:rPr>
                        </w:pPr>
                        <w:r>
                          <w:rPr>
                            <w:rFonts w:ascii="Arial" w:hAnsi="Arial" w:cs="Arial"/>
                            <w:color w:val="002060"/>
                            <w:sz w:val="20"/>
                            <w:szCs w:val="20"/>
                          </w:rPr>
                          <w:t>-</w:t>
                        </w:r>
                        <w:r>
                          <w:rPr>
                            <w:color w:val="002060"/>
                            <w:sz w:val="14"/>
                            <w:szCs w:val="14"/>
                          </w:rPr>
                          <w:t xml:space="preserve">       </w:t>
                        </w:r>
                        <w:r>
                          <w:rPr>
                            <w:rFonts w:ascii="Arial" w:hAnsi="Arial" w:cs="Arial"/>
                            <w:color w:val="002060"/>
                            <w:sz w:val="20"/>
                            <w:szCs w:val="20"/>
                          </w:rPr>
                          <w:t xml:space="preserve">La FHP s’est opposée à la création du </w:t>
                        </w:r>
                        <w:proofErr w:type="spellStart"/>
                        <w:r>
                          <w:rPr>
                            <w:rFonts w:ascii="Arial" w:hAnsi="Arial" w:cs="Arial"/>
                            <w:color w:val="002060"/>
                            <w:sz w:val="20"/>
                            <w:szCs w:val="20"/>
                          </w:rPr>
                          <w:t>Caqes</w:t>
                        </w:r>
                        <w:proofErr w:type="spellEnd"/>
                        <w:r>
                          <w:rPr>
                            <w:rFonts w:ascii="Arial" w:hAnsi="Arial" w:cs="Arial"/>
                            <w:color w:val="002060"/>
                            <w:sz w:val="20"/>
                            <w:szCs w:val="20"/>
                          </w:rPr>
                          <w:t xml:space="preserve"> qui :</w:t>
                        </w:r>
                      </w:p>
                      <w:p w:rsidR="00FD090B" w:rsidRDefault="00FD090B" w:rsidP="005B58EE">
                        <w:pPr>
                          <w:numPr>
                            <w:ilvl w:val="0"/>
                            <w:numId w:val="1"/>
                          </w:numPr>
                          <w:spacing w:before="100" w:beforeAutospacing="1" w:after="100" w:afterAutospacing="1"/>
                          <w:rPr>
                            <w:rFonts w:ascii="Arial" w:eastAsia="Times New Roman" w:hAnsi="Arial" w:cs="Arial"/>
                            <w:color w:val="002060"/>
                            <w:sz w:val="20"/>
                            <w:szCs w:val="20"/>
                          </w:rPr>
                        </w:pPr>
                        <w:r>
                          <w:rPr>
                            <w:rFonts w:ascii="Arial" w:eastAsia="Times New Roman" w:hAnsi="Arial" w:cs="Arial"/>
                            <w:color w:val="002060"/>
                            <w:sz w:val="20"/>
                            <w:szCs w:val="20"/>
                          </w:rPr>
                          <w:t xml:space="preserve">N’apporte pas les éléments de simplification attendue, </w:t>
                        </w:r>
                      </w:p>
                      <w:p w:rsidR="00FD090B" w:rsidRDefault="00FD090B" w:rsidP="005B58EE">
                        <w:pPr>
                          <w:numPr>
                            <w:ilvl w:val="0"/>
                            <w:numId w:val="1"/>
                          </w:numPr>
                          <w:spacing w:before="100" w:beforeAutospacing="1" w:after="100" w:afterAutospacing="1"/>
                          <w:rPr>
                            <w:rFonts w:ascii="Arial" w:eastAsia="Times New Roman" w:hAnsi="Arial" w:cs="Arial"/>
                            <w:color w:val="002060"/>
                            <w:sz w:val="20"/>
                            <w:szCs w:val="20"/>
                          </w:rPr>
                        </w:pPr>
                        <w:r>
                          <w:rPr>
                            <w:rFonts w:ascii="Arial" w:eastAsia="Times New Roman" w:hAnsi="Arial" w:cs="Arial"/>
                            <w:color w:val="002060"/>
                            <w:sz w:val="20"/>
                            <w:szCs w:val="20"/>
                          </w:rPr>
                          <w:t xml:space="preserve">Fait peser sur les seuls établissements de santé le risque de sanction (pertinence des soins), </w:t>
                        </w:r>
                      </w:p>
                      <w:p w:rsidR="00FD090B" w:rsidRDefault="00FD090B" w:rsidP="005B58EE">
                        <w:pPr>
                          <w:numPr>
                            <w:ilvl w:val="0"/>
                            <w:numId w:val="1"/>
                          </w:numPr>
                          <w:spacing w:before="100" w:beforeAutospacing="1" w:after="100" w:afterAutospacing="1"/>
                          <w:rPr>
                            <w:rFonts w:ascii="Arial" w:eastAsia="Times New Roman" w:hAnsi="Arial" w:cs="Arial"/>
                            <w:color w:val="002060"/>
                            <w:sz w:val="20"/>
                            <w:szCs w:val="20"/>
                          </w:rPr>
                        </w:pPr>
                        <w:r>
                          <w:rPr>
                            <w:rFonts w:ascii="Arial" w:eastAsia="Times New Roman" w:hAnsi="Arial" w:cs="Arial"/>
                            <w:color w:val="002060"/>
                            <w:sz w:val="20"/>
                            <w:szCs w:val="20"/>
                          </w:rPr>
                          <w:t xml:space="preserve">Conduit à une inégalité de traitement des établissements au regard de la variabilité des indicateurs d’une région à l’autre. </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La FHP, les syndicats de spécialités et les FHP régionales sont à votre disposition pour vous conseiller sur ce sujet.</w:t>
                        </w:r>
                      </w:p>
                      <w:p w:rsidR="00FD090B" w:rsidRDefault="00FD090B">
                        <w:pPr>
                          <w:pStyle w:val="NormalWeb"/>
                          <w:jc w:val="both"/>
                          <w:rPr>
                            <w:rFonts w:ascii="Arial" w:hAnsi="Arial" w:cs="Arial"/>
                            <w:color w:val="1F497D"/>
                            <w:sz w:val="20"/>
                            <w:szCs w:val="20"/>
                          </w:rPr>
                        </w:pPr>
                        <w:r>
                          <w:rPr>
                            <w:rFonts w:ascii="Arial" w:hAnsi="Arial" w:cs="Arial"/>
                            <w:color w:val="002060"/>
                            <w:sz w:val="20"/>
                            <w:szCs w:val="20"/>
                          </w:rPr>
                          <w:t>La Commission Juridique de la FHP mettra en place un observatoire permettant de suivre ce dispositif visant à vous apporter toutes les précisions nécessaires et répondre à vos difficultés rencontrées dans vos établissements.</w:t>
                        </w:r>
                      </w:p>
                      <w:p w:rsidR="00FD090B" w:rsidRDefault="00FD090B">
                        <w:pPr>
                          <w:jc w:val="center"/>
                          <w:rPr>
                            <w:rFonts w:ascii="Arial" w:eastAsia="Times New Roman" w:hAnsi="Arial" w:cs="Arial"/>
                            <w:color w:val="436999"/>
                            <w:sz w:val="20"/>
                            <w:szCs w:val="20"/>
                          </w:rPr>
                        </w:pPr>
                        <w:r>
                          <w:rPr>
                            <w:rFonts w:ascii="Arial" w:eastAsia="Times New Roman" w:hAnsi="Arial" w:cs="Arial"/>
                            <w:color w:val="436999"/>
                            <w:sz w:val="20"/>
                            <w:szCs w:val="20"/>
                          </w:rPr>
                          <w:pict>
                            <v:rect id="_x0000_i1027" style="width:453.6pt;height:1.5pt" o:hralign="center" o:hrstd="t" o:hr="t" fillcolor="#a0a0a0" stroked="f"/>
                          </w:pict>
                        </w:r>
                      </w:p>
                      <w:p w:rsidR="00FD090B" w:rsidRDefault="00FD090B">
                        <w:pPr>
                          <w:pStyle w:val="NormalWeb"/>
                          <w:jc w:val="both"/>
                          <w:rPr>
                            <w:rFonts w:ascii="Arial" w:hAnsi="Arial" w:cs="Arial"/>
                            <w:color w:val="436999"/>
                            <w:sz w:val="20"/>
                            <w:szCs w:val="20"/>
                          </w:rPr>
                        </w:pPr>
                        <w:r>
                          <w:rPr>
                            <w:rFonts w:ascii="Arial" w:hAnsi="Arial" w:cs="Arial"/>
                            <w:color w:val="002060"/>
                            <w:sz w:val="20"/>
                            <w:szCs w:val="20"/>
                          </w:rPr>
                          <w:br/>
                        </w:r>
                        <w:r>
                          <w:rPr>
                            <w:rFonts w:ascii="Arial" w:hAnsi="Arial" w:cs="Arial"/>
                            <w:color w:val="002060"/>
                            <w:sz w:val="20"/>
                            <w:szCs w:val="20"/>
                          </w:rPr>
                          <w:br/>
                        </w:r>
                        <w:r>
                          <w:rPr>
                            <w:rFonts w:ascii="Arial" w:hAnsi="Arial" w:cs="Arial"/>
                            <w:noProof/>
                            <w:color w:val="1F497D"/>
                            <w:sz w:val="20"/>
                            <w:szCs w:val="20"/>
                          </w:rPr>
                          <w:drawing>
                            <wp:inline distT="0" distB="0" distL="0" distR="0">
                              <wp:extent cx="1905000" cy="571500"/>
                              <wp:effectExtent l="0" t="0" r="0" b="0"/>
                              <wp:docPr id="2" name="Image 2" descr="http://www.fhp.fr/fichiers/20160729123411_BTN_telecharger_DPE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hp.fr/fichiers/20160729123411_BTN_telecharger_DPEJ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FD090B" w:rsidRDefault="00FD090B" w:rsidP="005B58EE">
                        <w:pPr>
                          <w:numPr>
                            <w:ilvl w:val="0"/>
                            <w:numId w:val="2"/>
                          </w:numPr>
                          <w:spacing w:before="100" w:beforeAutospacing="1" w:after="100" w:afterAutospacing="1"/>
                          <w:rPr>
                            <w:rFonts w:ascii="Arial" w:eastAsia="Times New Roman" w:hAnsi="Arial" w:cs="Arial"/>
                            <w:color w:val="436999"/>
                            <w:sz w:val="20"/>
                            <w:szCs w:val="20"/>
                          </w:rPr>
                        </w:pPr>
                        <w:hyperlink r:id="rId12" w:history="1">
                          <w:r>
                            <w:rPr>
                              <w:rStyle w:val="Lienhypertexte"/>
                              <w:rFonts w:ascii="Arial" w:eastAsia="Times New Roman" w:hAnsi="Arial" w:cs="Arial"/>
                              <w:sz w:val="20"/>
                              <w:szCs w:val="20"/>
                            </w:rPr>
                            <w:t>Loi n° 2015-1702 du 21 décembre 2015 de financement de la sécurité sociale pour 2016 (article 81)</w:t>
                          </w:r>
                        </w:hyperlink>
                      </w:p>
                      <w:p w:rsidR="00FD090B" w:rsidRDefault="00FD090B" w:rsidP="005B58EE">
                        <w:pPr>
                          <w:numPr>
                            <w:ilvl w:val="0"/>
                            <w:numId w:val="2"/>
                          </w:numPr>
                          <w:spacing w:before="100" w:beforeAutospacing="1" w:after="100" w:afterAutospacing="1"/>
                          <w:rPr>
                            <w:rFonts w:ascii="Arial" w:eastAsia="Times New Roman" w:hAnsi="Arial" w:cs="Arial"/>
                            <w:color w:val="436999"/>
                            <w:sz w:val="20"/>
                            <w:szCs w:val="20"/>
                          </w:rPr>
                        </w:pPr>
                        <w:hyperlink r:id="rId13" w:history="1">
                          <w:r>
                            <w:rPr>
                              <w:rStyle w:val="Lienhypertexte"/>
                              <w:rFonts w:ascii="Arial" w:eastAsia="Times New Roman" w:hAnsi="Arial" w:cs="Arial"/>
                              <w:sz w:val="20"/>
                              <w:szCs w:val="20"/>
                            </w:rPr>
                            <w:t>Décret n° 2017-584 du 20 avril 2017</w:t>
                          </w:r>
                        </w:hyperlink>
                        <w:r>
                          <w:rPr>
                            <w:rFonts w:ascii="Arial" w:eastAsia="Times New Roman" w:hAnsi="Arial" w:cs="Arial"/>
                            <w:color w:val="002060"/>
                            <w:sz w:val="20"/>
                            <w:szCs w:val="20"/>
                          </w:rPr>
                          <w:t xml:space="preserve"> fixant les modalités d'application du contrat d'amélioration de la qualité et de l'efficience des soins</w:t>
                        </w:r>
                      </w:p>
                      <w:p w:rsidR="00FD090B" w:rsidRDefault="00FD090B" w:rsidP="005B58EE">
                        <w:pPr>
                          <w:numPr>
                            <w:ilvl w:val="0"/>
                            <w:numId w:val="2"/>
                          </w:numPr>
                          <w:spacing w:before="100" w:beforeAutospacing="1" w:after="100" w:afterAutospacing="1"/>
                          <w:rPr>
                            <w:rFonts w:ascii="Arial" w:eastAsia="Times New Roman" w:hAnsi="Arial" w:cs="Arial"/>
                            <w:color w:val="436999"/>
                            <w:sz w:val="20"/>
                            <w:szCs w:val="20"/>
                          </w:rPr>
                        </w:pPr>
                        <w:hyperlink r:id="rId14" w:history="1">
                          <w:r>
                            <w:rPr>
                              <w:rStyle w:val="Lienhypertexte"/>
                              <w:rFonts w:ascii="Arial" w:eastAsia="Times New Roman" w:hAnsi="Arial" w:cs="Arial"/>
                              <w:sz w:val="20"/>
                              <w:szCs w:val="20"/>
                            </w:rPr>
                            <w:t>Arrêté du 27 avril 2017</w:t>
                          </w:r>
                        </w:hyperlink>
                        <w:r>
                          <w:rPr>
                            <w:rFonts w:ascii="Arial" w:eastAsia="Times New Roman" w:hAnsi="Arial" w:cs="Arial"/>
                            <w:color w:val="002060"/>
                            <w:sz w:val="20"/>
                            <w:szCs w:val="20"/>
                          </w:rPr>
                          <w:t xml:space="preserve"> relatif au contrat type d’amélioration de la qualité et de l’efficience des soins mentionné à l’article L. 162-30-2 du code de la sécurité sociale</w:t>
                        </w:r>
                      </w:p>
                      <w:bookmarkStart w:id="0" w:name="_Hlk481742884"/>
                      <w:bookmarkEnd w:id="0"/>
                      <w:p w:rsidR="00FD090B" w:rsidRDefault="00FD090B" w:rsidP="005B58EE">
                        <w:pPr>
                          <w:numPr>
                            <w:ilvl w:val="0"/>
                            <w:numId w:val="2"/>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002060"/>
                            <w:sz w:val="20"/>
                            <w:szCs w:val="20"/>
                          </w:rPr>
                          <w:fldChar w:fldCharType="begin"/>
                        </w:r>
                        <w:r>
                          <w:rPr>
                            <w:rFonts w:ascii="Arial" w:eastAsia="Times New Roman" w:hAnsi="Arial" w:cs="Arial"/>
                            <w:color w:val="002060"/>
                            <w:sz w:val="20"/>
                            <w:szCs w:val="20"/>
                          </w:rPr>
                          <w:instrText xml:space="preserve"> HYPERLINK "http://www.fhp.fr/fichiers/20170509112619_Arrete_ref._caqes_du_27.04.17.pdf" </w:instrText>
                        </w:r>
                        <w:r>
                          <w:rPr>
                            <w:rFonts w:ascii="Arial" w:eastAsia="Times New Roman" w:hAnsi="Arial" w:cs="Arial"/>
                            <w:color w:val="002060"/>
                            <w:sz w:val="20"/>
                            <w:szCs w:val="20"/>
                          </w:rPr>
                          <w:fldChar w:fldCharType="separate"/>
                        </w:r>
                        <w:r>
                          <w:rPr>
                            <w:rStyle w:val="Lienhypertexte"/>
                            <w:rFonts w:ascii="Arial" w:eastAsia="Times New Roman" w:hAnsi="Arial" w:cs="Arial"/>
                            <w:sz w:val="20"/>
                            <w:szCs w:val="20"/>
                          </w:rPr>
                          <w:t>Arrêté du 27 avril 2017 fixant les référentiels</w:t>
                        </w:r>
                        <w:r>
                          <w:rPr>
                            <w:rFonts w:ascii="Arial" w:eastAsia="Times New Roman" w:hAnsi="Arial" w:cs="Arial"/>
                            <w:color w:val="002060"/>
                            <w:sz w:val="20"/>
                            <w:szCs w:val="20"/>
                          </w:rPr>
                          <w:fldChar w:fldCharType="end"/>
                        </w:r>
                        <w:r>
                          <w:rPr>
                            <w:rFonts w:ascii="Arial" w:eastAsia="Times New Roman" w:hAnsi="Arial" w:cs="Arial"/>
                            <w:color w:val="002060"/>
                            <w:sz w:val="20"/>
                            <w:szCs w:val="20"/>
                          </w:rPr>
                          <w:t xml:space="preserve"> de</w:t>
                        </w:r>
                        <w:bookmarkStart w:id="1" w:name="_Hlk481742927"/>
                        <w:r>
                          <w:rPr>
                            <w:rFonts w:ascii="Arial" w:eastAsia="Times New Roman" w:hAnsi="Arial" w:cs="Arial"/>
                            <w:color w:val="002060"/>
                            <w:sz w:val="20"/>
                            <w:szCs w:val="20"/>
                          </w:rPr>
                          <w:t xml:space="preserve"> pertinence, de qualité, de sécurité des soins ou de seuils, exprimés en volume ou en dépenses d'assurance maladie mentionnés à l'article L. 162-30-3 du code de la sécurité sociale</w:t>
                        </w:r>
                        <w:bookmarkEnd w:id="1"/>
                      </w:p>
                      <w:p w:rsidR="00FD090B" w:rsidRDefault="00FD090B" w:rsidP="005B58EE">
                        <w:pPr>
                          <w:numPr>
                            <w:ilvl w:val="0"/>
                            <w:numId w:val="2"/>
                          </w:numPr>
                          <w:spacing w:before="100" w:beforeAutospacing="1" w:after="100" w:afterAutospacing="1"/>
                          <w:rPr>
                            <w:rFonts w:ascii="Arial" w:eastAsia="Times New Roman" w:hAnsi="Arial" w:cs="Arial"/>
                            <w:color w:val="436999"/>
                            <w:sz w:val="20"/>
                            <w:szCs w:val="20"/>
                          </w:rPr>
                        </w:pPr>
                        <w:hyperlink r:id="rId15" w:history="1">
                          <w:r>
                            <w:rPr>
                              <w:rStyle w:val="Lienhypertexte"/>
                              <w:rFonts w:ascii="Arial" w:eastAsia="Times New Roman" w:hAnsi="Arial" w:cs="Arial"/>
                              <w:sz w:val="20"/>
                              <w:szCs w:val="20"/>
                            </w:rPr>
                            <w:t>Note de synthèse</w:t>
                          </w:r>
                        </w:hyperlink>
                        <w:r>
                          <w:rPr>
                            <w:rFonts w:ascii="Arial" w:eastAsia="Times New Roman" w:hAnsi="Arial" w:cs="Arial"/>
                            <w:color w:val="002060"/>
                            <w:sz w:val="20"/>
                            <w:szCs w:val="20"/>
                          </w:rPr>
                          <w:t> : lien de la note de synthèse</w:t>
                        </w:r>
                      </w:p>
                    </w:tc>
                  </w:tr>
                </w:tbl>
                <w:p w:rsidR="00FD090B" w:rsidRDefault="00FD090B">
                  <w:pPr>
                    <w:rPr>
                      <w:rFonts w:eastAsia="Times New Roman"/>
                      <w:sz w:val="20"/>
                      <w:szCs w:val="20"/>
                    </w:rPr>
                  </w:pPr>
                </w:p>
              </w:tc>
            </w:tr>
            <w:tr w:rsidR="00FD090B">
              <w:trPr>
                <w:tblCellSpacing w:w="0" w:type="dxa"/>
              </w:trPr>
              <w:tc>
                <w:tcPr>
                  <w:tcW w:w="0" w:type="auto"/>
                  <w:shd w:val="clear" w:color="auto" w:fill="F8F8F8"/>
                  <w:tcMar>
                    <w:top w:w="0" w:type="dxa"/>
                    <w:left w:w="0" w:type="dxa"/>
                    <w:bottom w:w="225" w:type="dxa"/>
                    <w:right w:w="150" w:type="dxa"/>
                  </w:tcMar>
                  <w:vAlign w:val="center"/>
                  <w:hideMark/>
                </w:tcPr>
                <w:p w:rsidR="00FD090B" w:rsidRDefault="00FD090B">
                  <w:pPr>
                    <w:jc w:val="right"/>
                    <w:rPr>
                      <w:rFonts w:ascii="Arial" w:eastAsia="Times New Roman" w:hAnsi="Arial" w:cs="Arial"/>
                      <w:b/>
                      <w:bCs/>
                      <w:color w:val="013E6A"/>
                      <w:sz w:val="18"/>
                      <w:szCs w:val="18"/>
                    </w:rPr>
                  </w:pPr>
                  <w:r>
                    <w:rPr>
                      <w:rFonts w:ascii="Arial" w:eastAsia="Times New Roman" w:hAnsi="Arial" w:cs="Arial"/>
                      <w:b/>
                      <w:bCs/>
                      <w:color w:val="013E6A"/>
                      <w:sz w:val="18"/>
                      <w:szCs w:val="18"/>
                    </w:rPr>
                    <w:t>Elisabeth TOMÉ-GERTHEINRICHS</w:t>
                  </w:r>
                  <w:r>
                    <w:rPr>
                      <w:rFonts w:ascii="Arial" w:eastAsia="Times New Roman" w:hAnsi="Arial" w:cs="Arial"/>
                      <w:b/>
                      <w:bCs/>
                      <w:color w:val="013E6A"/>
                      <w:sz w:val="18"/>
                      <w:szCs w:val="18"/>
                    </w:rPr>
                    <w:br/>
                    <w:t>Déléguée Générale</w:t>
                  </w:r>
                </w:p>
              </w:tc>
            </w:tr>
            <w:tr w:rsidR="00FD090B">
              <w:trPr>
                <w:tblCellSpacing w:w="0" w:type="dxa"/>
              </w:trPr>
              <w:tc>
                <w:tcPr>
                  <w:tcW w:w="0" w:type="auto"/>
                  <w:shd w:val="clear" w:color="auto" w:fill="CEE8FD"/>
                  <w:vAlign w:val="center"/>
                  <w:hideMark/>
                </w:tcPr>
                <w:tbl>
                  <w:tblPr>
                    <w:tblW w:w="5000" w:type="pct"/>
                    <w:tblCellSpacing w:w="0" w:type="dxa"/>
                    <w:tblCellMar>
                      <w:left w:w="150" w:type="dxa"/>
                      <w:bottom w:w="150" w:type="dxa"/>
                      <w:right w:w="0" w:type="dxa"/>
                    </w:tblCellMar>
                    <w:tblLook w:val="04A0" w:firstRow="1" w:lastRow="0" w:firstColumn="1" w:lastColumn="0" w:noHBand="0" w:noVBand="1"/>
                  </w:tblPr>
                  <w:tblGrid>
                    <w:gridCol w:w="6750"/>
                    <w:gridCol w:w="2250"/>
                  </w:tblGrid>
                  <w:tr w:rsidR="00FD090B">
                    <w:trPr>
                      <w:tblCellSpacing w:w="0" w:type="dxa"/>
                    </w:trPr>
                    <w:tc>
                      <w:tcPr>
                        <w:tcW w:w="3750" w:type="pct"/>
                        <w:vAlign w:val="center"/>
                        <w:hideMark/>
                      </w:tcPr>
                      <w:p w:rsidR="00FD090B" w:rsidRDefault="00FD090B">
                        <w:pPr>
                          <w:rPr>
                            <w:rFonts w:ascii="Arial" w:eastAsia="Times New Roman" w:hAnsi="Arial" w:cs="Arial"/>
                            <w:color w:val="013E6A"/>
                            <w:sz w:val="18"/>
                            <w:szCs w:val="18"/>
                          </w:rPr>
                        </w:pPr>
                        <w:r>
                          <w:rPr>
                            <w:rStyle w:val="lev"/>
                            <w:rFonts w:ascii="Arial" w:eastAsia="Times New Roman" w:hAnsi="Arial" w:cs="Arial"/>
                            <w:color w:val="013E6A"/>
                            <w:sz w:val="18"/>
                            <w:szCs w:val="18"/>
                          </w:rPr>
                          <w:t xml:space="preserve">Contact : Direction </w:t>
                        </w:r>
                        <w:proofErr w:type="spellStart"/>
                        <w:r>
                          <w:rPr>
                            <w:rStyle w:val="lev"/>
                            <w:rFonts w:ascii="Arial" w:eastAsia="Times New Roman" w:hAnsi="Arial" w:cs="Arial"/>
                            <w:color w:val="013E6A"/>
                            <w:sz w:val="18"/>
                            <w:szCs w:val="18"/>
                          </w:rPr>
                          <w:t>des</w:t>
                        </w:r>
                        <w:proofErr w:type="spellEnd"/>
                        <w:r>
                          <w:rPr>
                            <w:rStyle w:val="lev"/>
                            <w:rFonts w:ascii="Arial" w:eastAsia="Times New Roman" w:hAnsi="Arial" w:cs="Arial"/>
                            <w:color w:val="013E6A"/>
                            <w:sz w:val="18"/>
                            <w:szCs w:val="18"/>
                          </w:rPr>
                          <w:t xml:space="preserve"> la Prospective économique, médicale et juridique </w:t>
                        </w:r>
                        <w:r>
                          <w:rPr>
                            <w:rFonts w:ascii="Arial" w:eastAsia="Times New Roman" w:hAnsi="Arial" w:cs="Arial"/>
                            <w:color w:val="013E6A"/>
                            <w:sz w:val="18"/>
                            <w:szCs w:val="18"/>
                          </w:rPr>
                          <w:br/>
                        </w:r>
                        <w:r>
                          <w:rPr>
                            <w:rStyle w:val="lev"/>
                            <w:rFonts w:ascii="Arial" w:eastAsia="Times New Roman" w:hAnsi="Arial" w:cs="Arial"/>
                            <w:color w:val="013E6A"/>
                            <w:sz w:val="18"/>
                            <w:szCs w:val="18"/>
                          </w:rPr>
                          <w:t>Grégory CAUMES</w:t>
                        </w:r>
                        <w:r>
                          <w:rPr>
                            <w:rFonts w:ascii="Arial" w:eastAsia="Times New Roman" w:hAnsi="Arial" w:cs="Arial"/>
                            <w:color w:val="013E6A"/>
                            <w:sz w:val="18"/>
                            <w:szCs w:val="18"/>
                          </w:rPr>
                          <w:br/>
                          <w:t>Responsable des affaires juridiques</w:t>
                        </w:r>
                        <w:r>
                          <w:rPr>
                            <w:rFonts w:ascii="Arial" w:eastAsia="Times New Roman" w:hAnsi="Arial" w:cs="Arial"/>
                            <w:color w:val="013E6A"/>
                            <w:sz w:val="18"/>
                            <w:szCs w:val="18"/>
                          </w:rPr>
                          <w:br/>
                          <w:t xml:space="preserve">Tél : 01 53 83 56 56 - </w:t>
                        </w:r>
                        <w:hyperlink r:id="rId16" w:history="1">
                          <w:r>
                            <w:rPr>
                              <w:rStyle w:val="Lienhypertexte"/>
                              <w:rFonts w:ascii="Arial" w:eastAsia="Times New Roman" w:hAnsi="Arial" w:cs="Arial"/>
                              <w:color w:val="013E6A"/>
                              <w:sz w:val="15"/>
                              <w:szCs w:val="15"/>
                            </w:rPr>
                            <w:t>gregory.caumes@fhp.fr</w:t>
                          </w:r>
                        </w:hyperlink>
                      </w:p>
                    </w:tc>
                    <w:tc>
                      <w:tcPr>
                        <w:tcW w:w="1250" w:type="pct"/>
                        <w:tcMar>
                          <w:top w:w="0" w:type="dxa"/>
                          <w:left w:w="150" w:type="dxa"/>
                          <w:bottom w:w="300" w:type="dxa"/>
                          <w:right w:w="150" w:type="dxa"/>
                        </w:tcMar>
                        <w:vAlign w:val="bottom"/>
                        <w:hideMark/>
                      </w:tcPr>
                      <w:p w:rsidR="00FD090B" w:rsidRDefault="00FD090B">
                        <w:pPr>
                          <w:jc w:val="right"/>
                          <w:rPr>
                            <w:rFonts w:ascii="Arial" w:eastAsia="Times New Roman" w:hAnsi="Arial" w:cs="Arial"/>
                            <w:color w:val="013E6A"/>
                            <w:sz w:val="18"/>
                            <w:szCs w:val="18"/>
                          </w:rPr>
                        </w:pPr>
                        <w:hyperlink r:id="rId17" w:history="1">
                          <w:r>
                            <w:rPr>
                              <w:rStyle w:val="Lienhypertexte"/>
                              <w:rFonts w:ascii="Arial" w:eastAsia="Times New Roman" w:hAnsi="Arial" w:cs="Arial"/>
                              <w:color w:val="013E6A"/>
                              <w:sz w:val="15"/>
                              <w:szCs w:val="15"/>
                            </w:rPr>
                            <w:t>Aller sur le site de la FHP</w:t>
                          </w:r>
                        </w:hyperlink>
                      </w:p>
                    </w:tc>
                  </w:tr>
                </w:tbl>
                <w:p w:rsidR="00FD090B" w:rsidRDefault="00FD090B">
                  <w:pPr>
                    <w:rPr>
                      <w:rFonts w:eastAsia="Times New Roman"/>
                      <w:sz w:val="20"/>
                      <w:szCs w:val="20"/>
                    </w:rPr>
                  </w:pPr>
                </w:p>
              </w:tc>
            </w:tr>
          </w:tbl>
          <w:p w:rsidR="00FD090B" w:rsidRDefault="00FD090B">
            <w:pPr>
              <w:rPr>
                <w:rFonts w:eastAsia="Times New Roman"/>
                <w:sz w:val="20"/>
                <w:szCs w:val="20"/>
              </w:rPr>
            </w:pPr>
          </w:p>
        </w:tc>
      </w:tr>
    </w:tbl>
    <w:p w:rsidR="00FD090B" w:rsidRDefault="00FD090B" w:rsidP="00FD090B">
      <w:pPr>
        <w:rPr>
          <w:rFonts w:eastAsia="Times New Roman"/>
        </w:rPr>
      </w:pPr>
      <w:hyperlink r:id="rId18" w:history="1">
        <w:r>
          <w:rPr>
            <w:rStyle w:val="Lienhypertexte"/>
            <w:rFonts w:eastAsia="Times New Roman"/>
            <w:sz w:val="2"/>
            <w:szCs w:val="2"/>
          </w:rPr>
          <w:t>http://trackmail.fhp.fr/unsub?hl=en&amp;a=pLfTeQ&amp;b=e9974fe0&amp;c=026k&amp;d=fc969938&amp;e=876b2d22&amp;email=fhpssr%40fhp-ssr.fr</w:t>
        </w:r>
      </w:hyperlink>
      <w:r>
        <w:rPr>
          <w:rFonts w:eastAsia="Times New Roman"/>
        </w:rPr>
        <w:t xml:space="preserve"> </w:t>
      </w:r>
      <w:r>
        <w:rPr>
          <w:rFonts w:eastAsia="Times New Roman"/>
        </w:rPr>
        <w:br/>
      </w:r>
      <w:r>
        <w:rPr>
          <w:rFonts w:eastAsia="Times New Roman"/>
          <w:noProof/>
        </w:rPr>
        <w:drawing>
          <wp:inline distT="0" distB="0" distL="0" distR="0">
            <wp:extent cx="9525" cy="9525"/>
            <wp:effectExtent l="0" t="0" r="0" b="0"/>
            <wp:docPr id="1" name="Image 1" descr="http://trackmail.fhp.fr/o/026k/03dd1952/x0o2nlok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rackmail.fhp.fr/o/026k/03dd1952/x0o2nlok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1B56" w:rsidRDefault="00DA1B56">
      <w:bookmarkStart w:id="2" w:name="_GoBack"/>
      <w:bookmarkEnd w:id="2"/>
    </w:p>
    <w:sectPr w:rsidR="00DA1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50F7C"/>
    <w:multiLevelType w:val="multilevel"/>
    <w:tmpl w:val="77E04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82CEF"/>
    <w:multiLevelType w:val="multilevel"/>
    <w:tmpl w:val="32B0F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01"/>
    <w:rsid w:val="00837E01"/>
    <w:rsid w:val="00DA1B56"/>
    <w:rsid w:val="00FD0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9AD0B-209E-4431-8E58-4281CA84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0B"/>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D090B"/>
    <w:rPr>
      <w:color w:val="0000FF"/>
      <w:u w:val="single"/>
    </w:rPr>
  </w:style>
  <w:style w:type="paragraph" w:styleId="NormalWeb">
    <w:name w:val="Normal (Web)"/>
    <w:basedOn w:val="Normal"/>
    <w:uiPriority w:val="99"/>
    <w:semiHidden/>
    <w:unhideWhenUsed/>
    <w:rsid w:val="00FD090B"/>
    <w:pPr>
      <w:spacing w:before="100" w:beforeAutospacing="1" w:after="100" w:afterAutospacing="1"/>
    </w:pPr>
  </w:style>
  <w:style w:type="character" w:styleId="lev">
    <w:name w:val="Strong"/>
    <w:basedOn w:val="Policepardfaut"/>
    <w:uiPriority w:val="22"/>
    <w:qFormat/>
    <w:rsid w:val="00FD0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p.fr/fichiers/20170505115714_Art_81_de_la_loi_n_2015_1702_du_21.12.15.doc" TargetMode="External"/><Relationship Id="rId13" Type="http://schemas.openxmlformats.org/officeDocument/2006/relationships/hyperlink" Target="http://www.fhp.fr/fichiers/20170505120506_Decret_n2017_584_du_20_avril_2017_modalites_application_caqes.pdf" TargetMode="External"/><Relationship Id="rId18" Type="http://schemas.openxmlformats.org/officeDocument/2006/relationships/hyperlink" Target="http://trackmail.fhp.fr/unsub?hl=en&amp;a=pLfTeQ&amp;b=e9974fe0&amp;c=026k&amp;d=fc969938&amp;e=876b2d22&amp;email=fhpssr%40fhp-ssr.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oama.fhp.fr/fichiers/20170505134652_Arrete_caqes_du_27_avril_2017.pdf" TargetMode="External"/><Relationship Id="rId12" Type="http://schemas.openxmlformats.org/officeDocument/2006/relationships/hyperlink" Target="http://www.fhp.fr/fichiers/20170505115714_Art_81_de_la_loi_n_2015_1702_du_21.12.15.doc" TargetMode="External"/><Relationship Id="rId17" Type="http://schemas.openxmlformats.org/officeDocument/2006/relationships/hyperlink" Target="http://www.fhp.fr/" TargetMode="External"/><Relationship Id="rId2" Type="http://schemas.openxmlformats.org/officeDocument/2006/relationships/styles" Target="styles.xml"/><Relationship Id="rId16" Type="http://schemas.openxmlformats.org/officeDocument/2006/relationships/hyperlink" Target="mailto:elsa.ptakhine@fhp.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hp.fr/fichiers/20170510085717_Decret_27.04.17__caqes.pdf"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hyperlink" Target="http://www.fhp.fr/fichiers/20170509164617_Caqes_note_de_synthese.docx" TargetMode="External"/><Relationship Id="rId10" Type="http://schemas.openxmlformats.org/officeDocument/2006/relationships/hyperlink" Target="mailto:gregory.caumes@fhp.fr" TargetMode="External"/><Relationship Id="rId19"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fhp.fr/fichiers/20170509112619_Arrete_ref._caqes_du_27.04.17.pdf" TargetMode="External"/><Relationship Id="rId14" Type="http://schemas.openxmlformats.org/officeDocument/2006/relationships/hyperlink" Target="http://www.fhp.fr/fichiers/20170505134652_Arrete_caqes_du_27_avril_201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5486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2017-05-18T14:36:00Z</dcterms:created>
  <dcterms:modified xsi:type="dcterms:W3CDTF">2017-05-18T14:37:00Z</dcterms:modified>
</cp:coreProperties>
</file>