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A6" w:rsidRDefault="00DB6FA6" w:rsidP="00DB6FA6">
      <w:pPr>
        <w:jc w:val="center"/>
        <w:rPr>
          <w:b/>
          <w:sz w:val="36"/>
          <w:szCs w:val="36"/>
        </w:rPr>
      </w:pPr>
      <w:r>
        <w:rPr>
          <w:b/>
          <w:sz w:val="36"/>
          <w:szCs w:val="36"/>
        </w:rPr>
        <w:t>CONVENTION DE PARTENARIAT</w:t>
      </w:r>
    </w:p>
    <w:p w:rsidR="008F7377" w:rsidRDefault="007E58BD" w:rsidP="00DB6FA6">
      <w:pPr>
        <w:jc w:val="center"/>
        <w:rPr>
          <w:b/>
          <w:color w:val="0070C0"/>
          <w:szCs w:val="24"/>
        </w:rPr>
      </w:pPr>
      <w:r w:rsidRPr="007E58BD">
        <w:rPr>
          <w:b/>
          <w:szCs w:val="24"/>
        </w:rPr>
        <w:t xml:space="preserve">ENTRE </w:t>
      </w:r>
      <w:r w:rsidR="00860F54">
        <w:rPr>
          <w:b/>
          <w:szCs w:val="24"/>
        </w:rPr>
        <w:t>L’</w:t>
      </w:r>
      <w:r w:rsidRPr="007E58BD">
        <w:rPr>
          <w:b/>
          <w:szCs w:val="24"/>
        </w:rPr>
        <w:t xml:space="preserve">ÉTABLISSEMENT SSR </w:t>
      </w:r>
      <w:r w:rsidRPr="00B8167A">
        <w:rPr>
          <w:b/>
          <w:szCs w:val="24"/>
        </w:rPr>
        <w:t xml:space="preserve">PRIVÉ </w:t>
      </w:r>
      <w:r w:rsidR="008F7377" w:rsidRPr="00B8167A">
        <w:rPr>
          <w:b/>
          <w:szCs w:val="24"/>
        </w:rPr>
        <w:t>POLYVALENT</w:t>
      </w:r>
      <w:r w:rsidR="00860F54" w:rsidRPr="00B8167A">
        <w:rPr>
          <w:b/>
          <w:szCs w:val="24"/>
        </w:rPr>
        <w:t>…</w:t>
      </w:r>
      <w:r w:rsidRPr="00B8167A">
        <w:rPr>
          <w:b/>
          <w:szCs w:val="24"/>
        </w:rPr>
        <w:t xml:space="preserve"> </w:t>
      </w:r>
      <w:r w:rsidR="008F7377" w:rsidRPr="00B8167A">
        <w:rPr>
          <w:b/>
          <w:szCs w:val="24"/>
          <w:u w:val="single"/>
        </w:rPr>
        <w:t>OU</w:t>
      </w:r>
      <w:r w:rsidR="00B8167A" w:rsidRPr="00B8167A">
        <w:rPr>
          <w:b/>
          <w:szCs w:val="24"/>
        </w:rPr>
        <w:t xml:space="preserve"> SSR PRIVÉ SPÉCIALISÉ</w:t>
      </w:r>
      <w:r w:rsidR="008F7377" w:rsidRPr="00B8167A">
        <w:rPr>
          <w:b/>
          <w:szCs w:val="24"/>
        </w:rPr>
        <w:t xml:space="preserve"> …. </w:t>
      </w:r>
    </w:p>
    <w:p w:rsidR="007E58BD" w:rsidRPr="007E58BD" w:rsidRDefault="007E58BD" w:rsidP="00DB6FA6">
      <w:pPr>
        <w:jc w:val="center"/>
        <w:rPr>
          <w:b/>
          <w:szCs w:val="24"/>
        </w:rPr>
      </w:pPr>
      <w:r w:rsidRPr="007E58BD">
        <w:rPr>
          <w:b/>
          <w:szCs w:val="24"/>
        </w:rPr>
        <w:t xml:space="preserve">ET </w:t>
      </w:r>
      <w:r w:rsidR="00860F54">
        <w:rPr>
          <w:b/>
          <w:szCs w:val="24"/>
        </w:rPr>
        <w:t>LE</w:t>
      </w:r>
      <w:r w:rsidRPr="007E58BD">
        <w:rPr>
          <w:b/>
          <w:szCs w:val="24"/>
        </w:rPr>
        <w:t xml:space="preserve"> GHT</w:t>
      </w:r>
      <w:r w:rsidR="00860F54">
        <w:rPr>
          <w:b/>
          <w:szCs w:val="24"/>
        </w:rPr>
        <w:t xml:space="preserve"> …</w:t>
      </w:r>
      <w:r w:rsidRPr="007E58BD">
        <w:rPr>
          <w:b/>
          <w:szCs w:val="24"/>
        </w:rPr>
        <w:t xml:space="preserve"> REPRÉSENTÉ</w:t>
      </w:r>
      <w:r w:rsidR="00860F54">
        <w:rPr>
          <w:b/>
          <w:szCs w:val="24"/>
        </w:rPr>
        <w:t xml:space="preserve"> PAR SON ÉTABLISSEMENT-SUPPORT …</w:t>
      </w:r>
    </w:p>
    <w:p w:rsidR="00DB6FA6" w:rsidRDefault="00DB6FA6" w:rsidP="00DB6FA6">
      <w:pPr>
        <w:jc w:val="center"/>
        <w:rPr>
          <w:b/>
          <w:sz w:val="36"/>
          <w:szCs w:val="36"/>
        </w:rPr>
      </w:pPr>
    </w:p>
    <w:p w:rsidR="00056857" w:rsidRDefault="00DB6FA6" w:rsidP="00DB6FA6">
      <w:pPr>
        <w:jc w:val="both"/>
        <w:rPr>
          <w:szCs w:val="24"/>
        </w:rPr>
      </w:pPr>
      <w:r>
        <w:rPr>
          <w:szCs w:val="24"/>
        </w:rPr>
        <w:t xml:space="preserve">Vu le Code de la santé publique et notamment les articles </w:t>
      </w:r>
      <w:r w:rsidR="00085431">
        <w:rPr>
          <w:szCs w:val="24"/>
        </w:rPr>
        <w:t>R. 6123-118 et s. relatifs aux conditions d’implantation de l’activité de soins de suite et de réadaptation, D. 6124-177-1 et s. relatifs aux conditions techniques de fonctionnement de l’activité de soins de suite et de réadaptation ;</w:t>
      </w:r>
    </w:p>
    <w:p w:rsidR="00085431" w:rsidRDefault="00085431" w:rsidP="00DB6FA6">
      <w:pPr>
        <w:jc w:val="both"/>
        <w:rPr>
          <w:szCs w:val="24"/>
        </w:rPr>
      </w:pPr>
      <w:r>
        <w:rPr>
          <w:szCs w:val="24"/>
        </w:rPr>
        <w:t>Vu le Code de la santé publique et notamment les articles L. 6132-1 et s. relatifs aux groupements hospitaliers de territoire ;</w:t>
      </w:r>
    </w:p>
    <w:p w:rsidR="00BF16C6" w:rsidRDefault="00BF16C6" w:rsidP="00DB6FA6">
      <w:pPr>
        <w:jc w:val="both"/>
        <w:rPr>
          <w:szCs w:val="24"/>
        </w:rPr>
      </w:pPr>
      <w:r>
        <w:rPr>
          <w:szCs w:val="24"/>
        </w:rPr>
        <w:t>Vu le Code de la santé publique et notamment les articles L. 6161-1 et s. relatifs aux établissements de santé privés ;</w:t>
      </w:r>
    </w:p>
    <w:p w:rsidR="00085431" w:rsidRDefault="00085431" w:rsidP="00DB6FA6">
      <w:pPr>
        <w:jc w:val="both"/>
        <w:rPr>
          <w:szCs w:val="24"/>
        </w:rPr>
      </w:pPr>
      <w:r>
        <w:rPr>
          <w:szCs w:val="24"/>
        </w:rPr>
        <w:t>Vu le décret n° 2016-524 du 27 avril 2016 relatif aux groupements hospitaliers de territoires ;</w:t>
      </w:r>
    </w:p>
    <w:p w:rsidR="00085431" w:rsidRDefault="00BF16C6" w:rsidP="00DB6FA6">
      <w:pPr>
        <w:jc w:val="both"/>
        <w:rPr>
          <w:szCs w:val="24"/>
        </w:rPr>
      </w:pPr>
      <w:r>
        <w:rPr>
          <w:szCs w:val="24"/>
        </w:rPr>
        <w:t>Vu l’a</w:t>
      </w:r>
      <w:r w:rsidR="00954B13">
        <w:rPr>
          <w:szCs w:val="24"/>
        </w:rPr>
        <w:t>rrêté n° … du Directeur général</w:t>
      </w:r>
      <w:r>
        <w:rPr>
          <w:szCs w:val="24"/>
        </w:rPr>
        <w:t xml:space="preserve"> de l’Agence régionale de santé de … approuvant la convention constitutive du GHT et désignant son établissement-support</w:t>
      </w:r>
      <w:r w:rsidR="00517A0D">
        <w:rPr>
          <w:szCs w:val="24"/>
        </w:rPr>
        <w:t> ;</w:t>
      </w:r>
    </w:p>
    <w:p w:rsidR="00517A0D" w:rsidRDefault="00517A0D" w:rsidP="00DB6FA6">
      <w:pPr>
        <w:jc w:val="both"/>
        <w:rPr>
          <w:szCs w:val="24"/>
        </w:rPr>
      </w:pPr>
      <w:r>
        <w:rPr>
          <w:szCs w:val="24"/>
        </w:rPr>
        <w:t>Vu le Projet régional de santé ;</w:t>
      </w:r>
    </w:p>
    <w:p w:rsidR="00517A0D" w:rsidRDefault="00517A0D" w:rsidP="00DB6FA6">
      <w:pPr>
        <w:jc w:val="both"/>
        <w:rPr>
          <w:szCs w:val="24"/>
        </w:rPr>
      </w:pPr>
      <w:r>
        <w:rPr>
          <w:szCs w:val="24"/>
        </w:rPr>
        <w:t xml:space="preserve">Vu le Schéma régional </w:t>
      </w:r>
      <w:r w:rsidR="002321CF">
        <w:rPr>
          <w:szCs w:val="24"/>
        </w:rPr>
        <w:t>d’organisation des soins</w:t>
      </w:r>
      <w:r w:rsidR="00943104">
        <w:rPr>
          <w:szCs w:val="24"/>
        </w:rPr>
        <w:t xml:space="preserve"> </w:t>
      </w:r>
      <w:r>
        <w:rPr>
          <w:szCs w:val="24"/>
        </w:rPr>
        <w:t>;</w:t>
      </w:r>
    </w:p>
    <w:p w:rsidR="00517A0D" w:rsidRDefault="00517A0D" w:rsidP="00DB6FA6">
      <w:pPr>
        <w:jc w:val="both"/>
        <w:rPr>
          <w:szCs w:val="24"/>
        </w:rPr>
      </w:pPr>
      <w:r>
        <w:rPr>
          <w:szCs w:val="24"/>
        </w:rPr>
        <w:t xml:space="preserve">Vu </w:t>
      </w:r>
      <w:r w:rsidR="00943104">
        <w:rPr>
          <w:szCs w:val="24"/>
        </w:rPr>
        <w:t xml:space="preserve">le </w:t>
      </w:r>
      <w:r w:rsidR="002321CF">
        <w:rPr>
          <w:szCs w:val="24"/>
        </w:rPr>
        <w:t>Schéma régional de prévention</w:t>
      </w:r>
      <w:r w:rsidR="00943104">
        <w:rPr>
          <w:szCs w:val="24"/>
        </w:rPr>
        <w:t>.</w:t>
      </w:r>
    </w:p>
    <w:p w:rsidR="00BF16C6" w:rsidRDefault="00BF16C6" w:rsidP="00DB6FA6">
      <w:pPr>
        <w:jc w:val="both"/>
        <w:rPr>
          <w:szCs w:val="24"/>
        </w:rPr>
      </w:pPr>
    </w:p>
    <w:p w:rsidR="00BF16C6" w:rsidRDefault="00BF16C6" w:rsidP="00DB6FA6">
      <w:pPr>
        <w:jc w:val="both"/>
        <w:rPr>
          <w:b/>
          <w:sz w:val="28"/>
          <w:szCs w:val="28"/>
        </w:rPr>
      </w:pPr>
      <w:r>
        <w:rPr>
          <w:b/>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228600</wp:posOffset>
                </wp:positionV>
                <wp:extent cx="4000500" cy="0"/>
                <wp:effectExtent l="0" t="0" r="19050" b="19050"/>
                <wp:wrapNone/>
                <wp:docPr id="2" name="Connecteur droit 2"/>
                <wp:cNvGraphicFramePr/>
                <a:graphic xmlns:a="http://schemas.openxmlformats.org/drawingml/2006/main">
                  <a:graphicData uri="http://schemas.microsoft.com/office/word/2010/wordprocessingShape">
                    <wps:wsp>
                      <wps:cNvCnPr/>
                      <wps:spPr>
                        <a:xfrm flipV="1">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2C881" id="Connecteur droit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3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h/1AEAAAsEAAAOAAAAZHJzL2Uyb0RvYy54bWysU02PGyEMvVfqf0Dcm5lEbVWNMtlDVttL&#10;1Ub9urOMSZAAI8Nmkn9fwySTVVtVatULwuD37Pcw67uTd+IIlCyGXi4XrRQQNA427Hv57evDq3dS&#10;pKzCoBwG6OUZkrzbvHyxHmMHKzygG4AEk4TUjbGXh5xj1zRJH8CrtMAIgS8NkleZQ9o3A6mR2b1r&#10;Vm37thmRhkioISU+vZ8u5abyGwM6fzImQRaul9xbrivV9bGszWatuj2peLD60ob6hy68soGLzlT3&#10;KivxRPYXKm81YUKTFxp9g8ZYDVUDq1m2P6n5clARqhY2J8XZpvT/aPXH446EHXq5kiIoz0+0xRDY&#10;N3giMRDaLFbFpTGmjpO3YUeXKMUdFcknQ14YZ+N3HoBqAssSp+rxefYYTlloPnzdtu2blp9CX++a&#10;iaJQRUr5PaAXZdNLZ0ORrzp1/JAyl+XUa0o5dqGsCZ0dHqxzNSiDA1tH4qj4yfNpWZpn3LMsjgqy&#10;KZImEXWXzw4m1s9g2BJudpJTh/HGqbSGkK+8LnB2gRnuYAa2te0/Ai/5BQp1UP8GPCNqZQx5Bnsb&#10;kH5X/WaFmfKvDky6iwWPOJzr81ZreOKqc5ffUUb6eVzhtz+8+QEAAP//AwBQSwMEFAAGAAgAAAAh&#10;ANTkj3bbAAAABgEAAA8AAABkcnMvZG93bnJldi54bWxMj09Lw0AQxe+C32EZwZvd1EKQmE0RwYNQ&#10;am096G27OybR7GzMTtr47R3xUE/z5w3v/aZcTqFTBxxSG8nAfJaBQnLRt1QbeNk9XN2ASmzJ2y4S&#10;GvjGBMvq/Ky0hY9HesbDlmslJpQKa6Bh7gutk2sw2DSLPZJo73EIlmUcau0HexTz0OnrLMt1sC1J&#10;QmN7vG/QfW7HYOB1/vi1cf3HZvfkVm/Ditdr5NGYy4vp7hYU48SnY/jFF3SohGkfR/JJdQbkETaw&#10;yKWKmi8yafZ/C12V+j9+9QMAAP//AwBQSwECLQAUAAYACAAAACEAtoM4kv4AAADhAQAAEwAAAAAA&#10;AAAAAAAAAAAAAAAAW0NvbnRlbnRfVHlwZXNdLnhtbFBLAQItABQABgAIAAAAIQA4/SH/1gAAAJQB&#10;AAALAAAAAAAAAAAAAAAAAC8BAABfcmVscy8ucmVsc1BLAQItABQABgAIAAAAIQD1C2h/1AEAAAsE&#10;AAAOAAAAAAAAAAAAAAAAAC4CAABkcnMvZTJvRG9jLnhtbFBLAQItABQABgAIAAAAIQDU5I922wAA&#10;AAYBAAAPAAAAAAAAAAAAAAAAAC4EAABkcnMvZG93bnJldi54bWxQSwUGAAAAAAQABADzAAAANgUA&#10;AAAA&#10;" strokecolor="black [3213]" strokeweight=".5pt">
                <v:stroke joinstyle="miter"/>
                <w10:wrap anchorx="margin"/>
              </v:line>
            </w:pict>
          </mc:Fallback>
        </mc:AlternateContent>
      </w:r>
      <w:r w:rsidRPr="00BF16C6">
        <w:rPr>
          <w:b/>
          <w:sz w:val="28"/>
          <w:szCs w:val="28"/>
        </w:rPr>
        <w:t>EXPOSÉ DES MOTIFS</w:t>
      </w:r>
    </w:p>
    <w:p w:rsidR="000F3B1C" w:rsidRDefault="000F3B1C" w:rsidP="00DB6FA6">
      <w:pPr>
        <w:jc w:val="both"/>
        <w:rPr>
          <w:b/>
          <w:szCs w:val="24"/>
        </w:rPr>
      </w:pPr>
    </w:p>
    <w:p w:rsidR="00674AFC" w:rsidRDefault="00166C24" w:rsidP="00DB6FA6">
      <w:pPr>
        <w:jc w:val="both"/>
        <w:rPr>
          <w:szCs w:val="24"/>
        </w:rPr>
      </w:pPr>
      <w:r w:rsidRPr="00860F54">
        <w:rPr>
          <w:b/>
          <w:szCs w:val="24"/>
        </w:rPr>
        <w:t>1 –</w:t>
      </w:r>
      <w:r>
        <w:rPr>
          <w:szCs w:val="24"/>
        </w:rPr>
        <w:t xml:space="preserve"> </w:t>
      </w:r>
      <w:r w:rsidR="00674AFC">
        <w:rPr>
          <w:szCs w:val="24"/>
        </w:rPr>
        <w:t>Présentation du contexte régional</w:t>
      </w:r>
      <w:r w:rsidR="0053214D">
        <w:rPr>
          <w:szCs w:val="24"/>
        </w:rPr>
        <w:t xml:space="preserve"> SSR</w:t>
      </w:r>
    </w:p>
    <w:p w:rsidR="00BF16C6" w:rsidRDefault="00674AFC" w:rsidP="00DB6FA6">
      <w:pPr>
        <w:jc w:val="both"/>
        <w:rPr>
          <w:szCs w:val="24"/>
        </w:rPr>
      </w:pPr>
      <w:r>
        <w:rPr>
          <w:b/>
          <w:szCs w:val="24"/>
        </w:rPr>
        <w:t xml:space="preserve">2 – </w:t>
      </w:r>
      <w:r w:rsidR="00166C24">
        <w:rPr>
          <w:szCs w:val="24"/>
        </w:rPr>
        <w:t>Présentation du GHT (implantation territoriale, composition</w:t>
      </w:r>
      <w:r w:rsidR="00860F54">
        <w:rPr>
          <w:szCs w:val="24"/>
        </w:rPr>
        <w:t>, projet médical partagé</w:t>
      </w:r>
      <w:r w:rsidR="00166C24">
        <w:rPr>
          <w:szCs w:val="24"/>
        </w:rPr>
        <w:t>)</w:t>
      </w:r>
    </w:p>
    <w:p w:rsidR="00166C24" w:rsidRDefault="00674AFC" w:rsidP="00DB6FA6">
      <w:pPr>
        <w:jc w:val="both"/>
        <w:rPr>
          <w:szCs w:val="24"/>
        </w:rPr>
      </w:pPr>
      <w:r>
        <w:rPr>
          <w:b/>
          <w:szCs w:val="24"/>
        </w:rPr>
        <w:t>3</w:t>
      </w:r>
      <w:r w:rsidR="00166C24" w:rsidRPr="00860F54">
        <w:rPr>
          <w:b/>
          <w:szCs w:val="24"/>
        </w:rPr>
        <w:t xml:space="preserve"> – </w:t>
      </w:r>
      <w:r w:rsidR="00166C24">
        <w:rPr>
          <w:szCs w:val="24"/>
        </w:rPr>
        <w:t>Présentation de l’établissement privé</w:t>
      </w:r>
      <w:r w:rsidR="00860F54">
        <w:rPr>
          <w:szCs w:val="24"/>
        </w:rPr>
        <w:t xml:space="preserve"> et de son projet médical</w:t>
      </w:r>
    </w:p>
    <w:p w:rsidR="00EF43CE" w:rsidRPr="00B576A3" w:rsidRDefault="00674AFC" w:rsidP="00DB6FA6">
      <w:pPr>
        <w:jc w:val="both"/>
        <w:rPr>
          <w:b/>
          <w:szCs w:val="24"/>
        </w:rPr>
      </w:pPr>
      <w:r>
        <w:rPr>
          <w:b/>
          <w:szCs w:val="24"/>
        </w:rPr>
        <w:t>4</w:t>
      </w:r>
      <w:r w:rsidR="00EF43CE" w:rsidRPr="00860F54">
        <w:rPr>
          <w:b/>
          <w:szCs w:val="24"/>
        </w:rPr>
        <w:t xml:space="preserve"> </w:t>
      </w:r>
      <w:r w:rsidR="00860F54" w:rsidRPr="00860F54">
        <w:rPr>
          <w:b/>
          <w:szCs w:val="24"/>
        </w:rPr>
        <w:t>–</w:t>
      </w:r>
      <w:r w:rsidR="00EF43CE">
        <w:rPr>
          <w:szCs w:val="24"/>
        </w:rPr>
        <w:t xml:space="preserve"> </w:t>
      </w:r>
      <w:r w:rsidR="00860F54">
        <w:rPr>
          <w:b/>
          <w:szCs w:val="24"/>
        </w:rPr>
        <w:t>La présente convention ne remet pas en ca</w:t>
      </w:r>
      <w:r w:rsidR="00860F54" w:rsidRPr="00B8167A">
        <w:rPr>
          <w:b/>
          <w:szCs w:val="24"/>
        </w:rPr>
        <w:t xml:space="preserve">use les conventions </w:t>
      </w:r>
      <w:r w:rsidR="00BA23D4" w:rsidRPr="00B8167A">
        <w:rPr>
          <w:b/>
          <w:szCs w:val="24"/>
        </w:rPr>
        <w:t xml:space="preserve">de partenariat </w:t>
      </w:r>
      <w:r w:rsidR="00860F54" w:rsidRPr="00B8167A">
        <w:rPr>
          <w:b/>
          <w:szCs w:val="24"/>
        </w:rPr>
        <w:t xml:space="preserve">signées entre l’établissement de santé privé … et les établissements de santé publics membres du </w:t>
      </w:r>
      <w:r w:rsidR="00350DAF" w:rsidRPr="00B8167A">
        <w:rPr>
          <w:b/>
          <w:szCs w:val="24"/>
        </w:rPr>
        <w:t>Groupement hospitalier de territoire</w:t>
      </w:r>
      <w:r w:rsidR="00860F54" w:rsidRPr="00B8167A">
        <w:rPr>
          <w:b/>
          <w:szCs w:val="24"/>
        </w:rPr>
        <w:t xml:space="preserve"> … </w:t>
      </w:r>
      <w:r w:rsidR="00A34CB3" w:rsidRPr="00B8167A">
        <w:rPr>
          <w:b/>
          <w:szCs w:val="24"/>
        </w:rPr>
        <w:t>(annexe 1).</w:t>
      </w:r>
      <w:r w:rsidR="00BA23D4" w:rsidRPr="00B8167A">
        <w:rPr>
          <w:b/>
          <w:szCs w:val="24"/>
        </w:rPr>
        <w:t xml:space="preserve"> Elle a vocation à s’inscrire en complément des coopérations existantes, dans </w:t>
      </w:r>
      <w:r w:rsidR="001F75E9">
        <w:rPr>
          <w:b/>
          <w:szCs w:val="24"/>
        </w:rPr>
        <w:t>l’</w:t>
      </w:r>
      <w:r w:rsidR="00BA23D4" w:rsidRPr="00B8167A">
        <w:rPr>
          <w:b/>
          <w:szCs w:val="24"/>
        </w:rPr>
        <w:t xml:space="preserve">objectif </w:t>
      </w:r>
      <w:r w:rsidR="00006BCE" w:rsidRPr="00B8167A">
        <w:rPr>
          <w:b/>
          <w:szCs w:val="24"/>
        </w:rPr>
        <w:t xml:space="preserve">d’assurer </w:t>
      </w:r>
      <w:r w:rsidR="00BA23D4" w:rsidRPr="00B8167A">
        <w:rPr>
          <w:b/>
          <w:szCs w:val="24"/>
        </w:rPr>
        <w:t>une réponse adaptée aux be</w:t>
      </w:r>
      <w:r w:rsidR="00006BCE" w:rsidRPr="00B8167A">
        <w:rPr>
          <w:b/>
          <w:szCs w:val="24"/>
        </w:rPr>
        <w:t xml:space="preserve">soins de santé des patients et </w:t>
      </w:r>
      <w:r w:rsidR="00BA23D4" w:rsidRPr="00B8167A">
        <w:rPr>
          <w:b/>
          <w:szCs w:val="24"/>
        </w:rPr>
        <w:t>une prise en charge de qualité des usagers</w:t>
      </w:r>
      <w:r w:rsidR="00954B13">
        <w:rPr>
          <w:b/>
          <w:szCs w:val="24"/>
        </w:rPr>
        <w:t xml:space="preserve"> du sy</w:t>
      </w:r>
      <w:r w:rsidR="00AD5A20">
        <w:rPr>
          <w:b/>
          <w:szCs w:val="24"/>
        </w:rPr>
        <w:t xml:space="preserve">stème de santé dans </w:t>
      </w:r>
      <w:r w:rsidR="00AD5A20" w:rsidRPr="00B576A3">
        <w:rPr>
          <w:b/>
          <w:szCs w:val="24"/>
        </w:rPr>
        <w:t>le cadre de</w:t>
      </w:r>
      <w:r w:rsidR="00954B13" w:rsidRPr="00B576A3">
        <w:rPr>
          <w:b/>
          <w:szCs w:val="24"/>
        </w:rPr>
        <w:t xml:space="preserve"> parcours de soins identifiés.</w:t>
      </w:r>
    </w:p>
    <w:p w:rsidR="00A34CB3" w:rsidRDefault="00A34CB3" w:rsidP="00DB6FA6">
      <w:pPr>
        <w:jc w:val="both"/>
        <w:rPr>
          <w:b/>
          <w:szCs w:val="24"/>
        </w:rPr>
      </w:pPr>
    </w:p>
    <w:p w:rsidR="00943104" w:rsidRDefault="00943104" w:rsidP="00DB6FA6">
      <w:pPr>
        <w:jc w:val="both"/>
        <w:rPr>
          <w:b/>
          <w:szCs w:val="24"/>
        </w:rPr>
      </w:pPr>
    </w:p>
    <w:p w:rsidR="00954B13" w:rsidRDefault="00954B13" w:rsidP="00DB6FA6">
      <w:pPr>
        <w:jc w:val="both"/>
        <w:rPr>
          <w:b/>
          <w:szCs w:val="24"/>
        </w:rPr>
      </w:pPr>
    </w:p>
    <w:p w:rsidR="00860F54" w:rsidRDefault="00183999" w:rsidP="00DB6FA6">
      <w:pPr>
        <w:jc w:val="both"/>
        <w:rPr>
          <w:b/>
          <w:szCs w:val="24"/>
        </w:rPr>
      </w:pPr>
      <w:r w:rsidRPr="00183999">
        <w:rPr>
          <w:b/>
          <w:szCs w:val="24"/>
        </w:rPr>
        <w:lastRenderedPageBreak/>
        <w:t>TITRE I – PARTIES À LA CONVENTION</w:t>
      </w:r>
    </w:p>
    <w:p w:rsidR="00183999" w:rsidRDefault="00183999" w:rsidP="00DB6FA6">
      <w:pPr>
        <w:jc w:val="both"/>
        <w:rPr>
          <w:b/>
          <w:szCs w:val="24"/>
        </w:rPr>
      </w:pPr>
      <w:r>
        <w:rPr>
          <w:b/>
          <w:noProof/>
          <w:sz w:val="28"/>
          <w:szCs w:val="28"/>
          <w:lang w:eastAsia="fr-FR"/>
        </w:rPr>
        <mc:AlternateContent>
          <mc:Choice Requires="wps">
            <w:drawing>
              <wp:anchor distT="0" distB="0" distL="114300" distR="114300" simplePos="0" relativeHeight="251661312" behindDoc="0" locked="0" layoutInCell="1" allowOverlap="1" wp14:anchorId="13D88CED" wp14:editId="75A3161E">
                <wp:simplePos x="0" y="0"/>
                <wp:positionH relativeFrom="margin">
                  <wp:posOffset>0</wp:posOffset>
                </wp:positionH>
                <wp:positionV relativeFrom="paragraph">
                  <wp:posOffset>0</wp:posOffset>
                </wp:positionV>
                <wp:extent cx="4000500" cy="0"/>
                <wp:effectExtent l="0" t="0" r="19050" b="19050"/>
                <wp:wrapNone/>
                <wp:docPr id="3" name="Connecteur droit 3"/>
                <wp:cNvGraphicFramePr/>
                <a:graphic xmlns:a="http://schemas.openxmlformats.org/drawingml/2006/main">
                  <a:graphicData uri="http://schemas.microsoft.com/office/word/2010/wordprocessingShape">
                    <wps:wsp>
                      <wps:cNvCnPr/>
                      <wps:spPr>
                        <a:xfrm flipV="1">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C61FB"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yr1QEAAAsEAAAOAAAAZHJzL2Uyb0RvYy54bWysU02PEzEMvSPxH6Lc6Ux3AaFRp3voarkg&#10;qPi6ZzNOJ1ISR062H/8eJ9NOV4CQQFyiOPF79ntxVndH78QeKFkMvVwuWikgaBxs2PXy29eHV++k&#10;SFmFQTkM0MsTJHm3fvlidYgd3OCIbgASTBJSd4i9HHOOXdMkPYJXaYERAl8aJK8yh7RrBlIHZveu&#10;uWnbt80BaYiEGlLi0/vpUq4rvzGg8ydjEmThesm95bpSXR/L2qxXqtuRiqPV5zbUP3ThlQ1cdKa6&#10;V1mJJ7K/UHmrCROavNDoGzTGaqgaWM2y/UnNl1FFqFrYnBRnm9L/o9Uf91sSdujlrRRBeX6iDYbA&#10;vsETiYHQZnFbXDrE1HHyJmzpHKW4pSL5aMgL42z8zgNQTWBZ4lg9Ps0ewzELzYev27Z90/JT6Mtd&#10;M1EUqkgpvwf0omx66Wwo8lWn9h9S5rKcekkpxy6UNaGzw4N1rgZlcGDjSOwVP3k+LkvzjHuWxVFB&#10;NkXSJKLu8snBxPoZDFvCzU5y6jBeOZXWEPKF1wXOLjDDHczAtrb9R+A5v0ChDurfgGdErYwhz2Bv&#10;A9Lvql+tMFP+xYFJd7HgEYdTfd5qDU9cde78O8pIP48r/PqH1z8AAAD//wMAUEsDBBQABgAIAAAA&#10;IQCFfXeO2AAAAAIBAAAPAAAAZHJzL2Rvd25yZXYueG1sTI/BSsNAEIbvgu+wjODNbqpQJM2miOBB&#10;KLW2HvS23Z0m0exszE7a+PZOvdTLwMc//PNNsRhDqw7YpyaSgekkA4Xkom+oMvC2fbq5B5XYkrdt&#10;JDTwgwkW5eVFYXMfj/SKhw1XSkoo5dZAzdzlWidXY7BpEjskyfaxD5YF+0r73h6lPLT6NstmOtiG&#10;5EJtO3ys0X1thmDgffr8vXbd53r74pYf/ZJXK+TBmOur8WEOinHk8zKc9EUdSnHaxYF8Uq0BeYT/&#10;pmSzu0xwd0JdFvq/evkLAAD//wMAUEsBAi0AFAAGAAgAAAAhALaDOJL+AAAA4QEAABMAAAAAAAAA&#10;AAAAAAAAAAAAAFtDb250ZW50X1R5cGVzXS54bWxQSwECLQAUAAYACAAAACEAOP0h/9YAAACUAQAA&#10;CwAAAAAAAAAAAAAAAAAvAQAAX3JlbHMvLnJlbHNQSwECLQAUAAYACAAAACEAeL7cq9UBAAALBAAA&#10;DgAAAAAAAAAAAAAAAAAuAgAAZHJzL2Uyb0RvYy54bWxQSwECLQAUAAYACAAAACEAhX13jtgAAAAC&#10;AQAADwAAAAAAAAAAAAAAAAAvBAAAZHJzL2Rvd25yZXYueG1sUEsFBgAAAAAEAAQA8wAAADQFAAAA&#10;AA==&#10;" strokecolor="black [3213]" strokeweight=".5pt">
                <v:stroke joinstyle="miter"/>
                <w10:wrap anchorx="margin"/>
              </v:line>
            </w:pict>
          </mc:Fallback>
        </mc:AlternateContent>
      </w:r>
    </w:p>
    <w:p w:rsidR="00183999" w:rsidRDefault="004855C0" w:rsidP="00DB6FA6">
      <w:pPr>
        <w:jc w:val="both"/>
        <w:rPr>
          <w:szCs w:val="24"/>
        </w:rPr>
      </w:pPr>
      <w:r>
        <w:rPr>
          <w:b/>
          <w:szCs w:val="24"/>
        </w:rPr>
        <w:t>Article 1</w:t>
      </w:r>
      <w:r w:rsidRPr="004855C0">
        <w:rPr>
          <w:b/>
          <w:szCs w:val="24"/>
          <w:vertAlign w:val="superscript"/>
        </w:rPr>
        <w:t>er</w:t>
      </w:r>
      <w:r>
        <w:rPr>
          <w:b/>
          <w:szCs w:val="24"/>
        </w:rPr>
        <w:t xml:space="preserve"> - </w:t>
      </w:r>
      <w:r w:rsidR="00183999">
        <w:rPr>
          <w:szCs w:val="24"/>
        </w:rPr>
        <w:t>La présente convention est signée entre les partenaires suivants :</w:t>
      </w:r>
    </w:p>
    <w:p w:rsidR="00183999" w:rsidRDefault="00183999" w:rsidP="00183999">
      <w:pPr>
        <w:jc w:val="both"/>
        <w:rPr>
          <w:b/>
          <w:szCs w:val="24"/>
        </w:rPr>
      </w:pPr>
      <w:r w:rsidRPr="00183999">
        <w:rPr>
          <w:b/>
          <w:szCs w:val="24"/>
        </w:rPr>
        <w:t xml:space="preserve">Le Centre hospitalier …, établissement-support du </w:t>
      </w:r>
      <w:r w:rsidR="00350DAF">
        <w:rPr>
          <w:b/>
          <w:szCs w:val="24"/>
        </w:rPr>
        <w:t>Groupement hospitalier de territoire</w:t>
      </w:r>
      <w:r w:rsidRPr="00183999">
        <w:rPr>
          <w:b/>
          <w:szCs w:val="24"/>
        </w:rPr>
        <w:t xml:space="preserve"> …, </w:t>
      </w:r>
      <w:r>
        <w:rPr>
          <w:b/>
          <w:szCs w:val="24"/>
        </w:rPr>
        <w:t xml:space="preserve">sis (adresse), </w:t>
      </w:r>
      <w:r w:rsidRPr="00183999">
        <w:rPr>
          <w:b/>
          <w:szCs w:val="24"/>
        </w:rPr>
        <w:t>représenté par son</w:t>
      </w:r>
      <w:r>
        <w:rPr>
          <w:b/>
          <w:szCs w:val="24"/>
        </w:rPr>
        <w:t xml:space="preserve"> (sa)</w:t>
      </w:r>
      <w:r w:rsidRPr="00183999">
        <w:rPr>
          <w:b/>
          <w:szCs w:val="24"/>
        </w:rPr>
        <w:t xml:space="preserve"> Directeur</w:t>
      </w:r>
      <w:r>
        <w:rPr>
          <w:b/>
          <w:szCs w:val="24"/>
        </w:rPr>
        <w:t xml:space="preserve"> (Directrice)</w:t>
      </w:r>
      <w:r w:rsidRPr="00183999">
        <w:rPr>
          <w:b/>
          <w:szCs w:val="24"/>
        </w:rPr>
        <w:t xml:space="preserve">, </w:t>
      </w:r>
      <w:r>
        <w:rPr>
          <w:b/>
          <w:szCs w:val="24"/>
        </w:rPr>
        <w:t>Monsieur (Madame) …</w:t>
      </w:r>
    </w:p>
    <w:p w:rsidR="00183999" w:rsidRDefault="00183999" w:rsidP="00183999">
      <w:pPr>
        <w:jc w:val="right"/>
        <w:rPr>
          <w:szCs w:val="24"/>
        </w:rPr>
      </w:pPr>
      <w:proofErr w:type="gramStart"/>
      <w:r>
        <w:rPr>
          <w:szCs w:val="24"/>
        </w:rPr>
        <w:t>d’une</w:t>
      </w:r>
      <w:proofErr w:type="gramEnd"/>
      <w:r>
        <w:rPr>
          <w:szCs w:val="24"/>
        </w:rPr>
        <w:t xml:space="preserve"> part,</w:t>
      </w:r>
    </w:p>
    <w:p w:rsidR="00183999" w:rsidRDefault="00183999" w:rsidP="00183999">
      <w:pPr>
        <w:jc w:val="both"/>
        <w:rPr>
          <w:szCs w:val="24"/>
        </w:rPr>
      </w:pPr>
      <w:r w:rsidRPr="00183999">
        <w:rPr>
          <w:b/>
          <w:szCs w:val="24"/>
        </w:rPr>
        <w:t>L’</w:t>
      </w:r>
      <w:r>
        <w:rPr>
          <w:b/>
          <w:szCs w:val="24"/>
        </w:rPr>
        <w:t>établissement de santé privé … sis (adresse), représenté par son (sa) Président(e)/Directeur (Directrice), Monsieur (Madame) … dûment habilité à l’effet des présentes</w:t>
      </w:r>
      <w:r>
        <w:rPr>
          <w:szCs w:val="24"/>
        </w:rPr>
        <w:t>,</w:t>
      </w:r>
    </w:p>
    <w:p w:rsidR="00183999" w:rsidRDefault="00183999" w:rsidP="00183999">
      <w:pPr>
        <w:jc w:val="right"/>
        <w:rPr>
          <w:szCs w:val="24"/>
        </w:rPr>
      </w:pPr>
      <w:proofErr w:type="gramStart"/>
      <w:r>
        <w:rPr>
          <w:szCs w:val="24"/>
        </w:rPr>
        <w:t>d’autre</w:t>
      </w:r>
      <w:proofErr w:type="gramEnd"/>
      <w:r>
        <w:rPr>
          <w:szCs w:val="24"/>
        </w:rPr>
        <w:t xml:space="preserve"> part.</w:t>
      </w:r>
    </w:p>
    <w:p w:rsidR="00183999" w:rsidRDefault="00183999" w:rsidP="00183999">
      <w:pPr>
        <w:jc w:val="right"/>
        <w:rPr>
          <w:szCs w:val="24"/>
        </w:rPr>
      </w:pPr>
    </w:p>
    <w:p w:rsidR="000F3B1C" w:rsidRDefault="000F3B1C" w:rsidP="00183999">
      <w:pPr>
        <w:jc w:val="both"/>
        <w:rPr>
          <w:b/>
          <w:szCs w:val="24"/>
        </w:rPr>
      </w:pPr>
      <w:r w:rsidRPr="000F3B1C">
        <w:rPr>
          <w:b/>
          <w:szCs w:val="24"/>
        </w:rPr>
        <w:t>TITRE II – OBJET DE LA CONVENTION</w:t>
      </w:r>
    </w:p>
    <w:p w:rsidR="000F3B1C" w:rsidRDefault="000F3B1C" w:rsidP="00183999">
      <w:pPr>
        <w:jc w:val="both"/>
        <w:rPr>
          <w:b/>
          <w:szCs w:val="24"/>
        </w:rPr>
      </w:pPr>
      <w:r>
        <w:rPr>
          <w:b/>
          <w:noProof/>
          <w:sz w:val="28"/>
          <w:szCs w:val="28"/>
          <w:lang w:eastAsia="fr-FR"/>
        </w:rPr>
        <mc:AlternateContent>
          <mc:Choice Requires="wps">
            <w:drawing>
              <wp:anchor distT="0" distB="0" distL="114300" distR="114300" simplePos="0" relativeHeight="251663360" behindDoc="0" locked="0" layoutInCell="1" allowOverlap="1" wp14:anchorId="13D88CED" wp14:editId="75A3161E">
                <wp:simplePos x="0" y="0"/>
                <wp:positionH relativeFrom="margin">
                  <wp:posOffset>0</wp:posOffset>
                </wp:positionH>
                <wp:positionV relativeFrom="paragraph">
                  <wp:posOffset>-635</wp:posOffset>
                </wp:positionV>
                <wp:extent cx="4000500" cy="0"/>
                <wp:effectExtent l="0" t="0" r="19050" b="19050"/>
                <wp:wrapNone/>
                <wp:docPr id="4" name="Connecteur droit 4"/>
                <wp:cNvGraphicFramePr/>
                <a:graphic xmlns:a="http://schemas.openxmlformats.org/drawingml/2006/main">
                  <a:graphicData uri="http://schemas.microsoft.com/office/word/2010/wordprocessingShape">
                    <wps:wsp>
                      <wps:cNvCnPr/>
                      <wps:spPr>
                        <a:xfrm flipV="1">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BCA6" id="Connecteur droit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Dp1QEAAAsEAAAOAAAAZHJzL2Uyb0RvYy54bWysU01vGyEQvVfqf0Dc611HblWtvM7BUXqp&#10;WqsfuRN2sJGAQQPxx7/vwNrrqK0qNcoFMTDvzbzHsLw9eif2QMli6OV81koBQeNgw7aXP3/cv/so&#10;RcoqDMphgF6eIMnb1ds3y0Ps4AZ36AYgwSQhdYfYy13OsWuapHfgVZphhMCXBsmrzCFtm4HUgdm9&#10;a27a9kNzQBoioYaU+PRuvJSrym8M6PzVmARZuF5yb7muVNfHsjarpeq2pOLO6nMb6gVdeGUDF52o&#10;7lRW4onsH1TeasKEJs80+gaNsRqqBlYzb39T832nIlQtbE6Kk03p9Wj1l/2GhB16uZAiKM9PtMYQ&#10;2Dd4IjEQ2iwWxaVDTB0nr8OGzlGKGyqSj4a8MM7GBx6AagLLEsfq8WnyGI5ZaD5ctG37vuWn0Je7&#10;ZqQoVJFS/gToRdn00tlQ5KtO7T+nzGU59ZJSjl0oa0Jnh3vrXA3K4MDakdgrfvJ8nJfmGfcsi6OC&#10;bIqkUUTd5ZODkfUbGLaEmx3l1GG8ciqtIeQLrwucXWCGO5iAbW37n8BzfoFCHdT/AU+IWhlDnsDe&#10;BqS/Vb9aYcb8iwOj7mLBIw6n+rzVGp646tz5d5SRfh5X+PUPr34BAAD//wMAUEsDBBQABgAIAAAA&#10;IQCq72522QAAAAQBAAAPAAAAZHJzL2Rvd25yZXYueG1sTI9BS8NAEIXvgv9hGcFbu4lCkZhNEcGD&#10;UGptPehtuzsm0exszE7a+O8dvdTjxxve+6ZcTqFTBxxSG8lAPs9AIbnoW6oNvOweZjegElvytouE&#10;Br4xwbI6Pytt4eORnvGw5VpJCaXCGmiY+0Lr5BoMNs1jjyTZexyCZcGh1n6wRykPnb7KsoUOtiVZ&#10;aGyP9w26z+0YDLzmj18b139sdk9u9TaseL1GHo25vJjubkExTnw6hl99UYdKnPZxJJ9UZ0AeYQOz&#10;HJSEi+tMeP/Huir1f/nqBwAA//8DAFBLAQItABQABgAIAAAAIQC2gziS/gAAAOEBAAATAAAAAAAA&#10;AAAAAAAAAAAAAABbQ29udGVudF9UeXBlc10ueG1sUEsBAi0AFAAGAAgAAAAhADj9If/WAAAAlAEA&#10;AAsAAAAAAAAAAAAAAAAALwEAAF9yZWxzLy5yZWxzUEsBAi0AFAAGAAgAAAAhABi8QOnVAQAACwQA&#10;AA4AAAAAAAAAAAAAAAAALgIAAGRycy9lMm9Eb2MueG1sUEsBAi0AFAAGAAgAAAAhAKrvbnbZAAAA&#10;BAEAAA8AAAAAAAAAAAAAAAAALwQAAGRycy9kb3ducmV2LnhtbFBLBQYAAAAABAAEAPMAAAA1BQAA&#10;AAA=&#10;" strokecolor="black [3213]" strokeweight=".5pt">
                <v:stroke joinstyle="miter"/>
                <w10:wrap anchorx="margin"/>
              </v:line>
            </w:pict>
          </mc:Fallback>
        </mc:AlternateContent>
      </w:r>
    </w:p>
    <w:p w:rsidR="000F3B1C" w:rsidRDefault="004855C0" w:rsidP="00183999">
      <w:pPr>
        <w:jc w:val="both"/>
        <w:rPr>
          <w:szCs w:val="24"/>
        </w:rPr>
      </w:pPr>
      <w:r>
        <w:rPr>
          <w:b/>
          <w:szCs w:val="24"/>
        </w:rPr>
        <w:t>Article 2 – Objectifs</w:t>
      </w:r>
    </w:p>
    <w:p w:rsidR="004855C0" w:rsidRPr="00B576A3" w:rsidRDefault="004855C0" w:rsidP="00183999">
      <w:pPr>
        <w:jc w:val="both"/>
        <w:rPr>
          <w:szCs w:val="24"/>
        </w:rPr>
      </w:pPr>
      <w:r>
        <w:rPr>
          <w:szCs w:val="24"/>
        </w:rPr>
        <w:t xml:space="preserve">La présente convention a pour objet une prise en charge complète et un traitement de qualité </w:t>
      </w:r>
      <w:r w:rsidRPr="001F75E9">
        <w:rPr>
          <w:szCs w:val="24"/>
        </w:rPr>
        <w:t xml:space="preserve">des patients </w:t>
      </w:r>
      <w:r w:rsidR="003E6A63" w:rsidRPr="001F75E9">
        <w:rPr>
          <w:szCs w:val="24"/>
        </w:rPr>
        <w:t xml:space="preserve">dont l’état de santé nécessite une prise en charge </w:t>
      </w:r>
      <w:r w:rsidR="00AD5A20" w:rsidRPr="00B576A3">
        <w:rPr>
          <w:szCs w:val="24"/>
        </w:rPr>
        <w:t xml:space="preserve">globale et pluridisciplinaire </w:t>
      </w:r>
      <w:r w:rsidRPr="00B576A3">
        <w:rPr>
          <w:szCs w:val="24"/>
        </w:rPr>
        <w:t>en soins de suite et de réadaptation</w:t>
      </w:r>
      <w:r w:rsidR="003E6A63" w:rsidRPr="00B576A3">
        <w:rPr>
          <w:szCs w:val="24"/>
        </w:rPr>
        <w:t>, et</w:t>
      </w:r>
      <w:r w:rsidRPr="00B576A3">
        <w:rPr>
          <w:szCs w:val="24"/>
        </w:rPr>
        <w:t xml:space="preserve"> qui sont domiciliés ou qui séjournent dans le territoire </w:t>
      </w:r>
      <w:r w:rsidR="00AD5A20" w:rsidRPr="00B576A3">
        <w:rPr>
          <w:szCs w:val="24"/>
        </w:rPr>
        <w:t>du GHT</w:t>
      </w:r>
      <w:r w:rsidRPr="00B576A3">
        <w:rPr>
          <w:szCs w:val="24"/>
        </w:rPr>
        <w:t xml:space="preserve"> … .</w:t>
      </w:r>
    </w:p>
    <w:p w:rsidR="004855C0" w:rsidRDefault="004855C0" w:rsidP="00183999">
      <w:pPr>
        <w:jc w:val="both"/>
        <w:rPr>
          <w:szCs w:val="24"/>
        </w:rPr>
      </w:pPr>
      <w:r>
        <w:rPr>
          <w:szCs w:val="24"/>
        </w:rPr>
        <w:t xml:space="preserve">La présente convention </w:t>
      </w:r>
      <w:r w:rsidRPr="00B8167A">
        <w:rPr>
          <w:szCs w:val="24"/>
        </w:rPr>
        <w:t>organise l</w:t>
      </w:r>
      <w:r w:rsidR="003E6A63" w:rsidRPr="00B8167A">
        <w:rPr>
          <w:szCs w:val="24"/>
        </w:rPr>
        <w:t>es modalités de</w:t>
      </w:r>
      <w:r w:rsidRPr="00B8167A">
        <w:rPr>
          <w:szCs w:val="24"/>
        </w:rPr>
        <w:t xml:space="preserve"> </w:t>
      </w:r>
      <w:r>
        <w:rPr>
          <w:szCs w:val="24"/>
        </w:rPr>
        <w:t>participation de l’établissement de santé privé … à la filière de prise en charge territoriale en so</w:t>
      </w:r>
      <w:r w:rsidR="00350DAF">
        <w:rPr>
          <w:szCs w:val="24"/>
        </w:rPr>
        <w:t>ins de suite et de réadaptation dans le cadre d</w:t>
      </w:r>
      <w:r w:rsidR="00954B13">
        <w:rPr>
          <w:szCs w:val="24"/>
        </w:rPr>
        <w:t>’un parcours de soins identifié</w:t>
      </w:r>
      <w:r w:rsidR="00350DAF">
        <w:rPr>
          <w:szCs w:val="24"/>
        </w:rPr>
        <w:t xml:space="preserve"> dans le projet médical partagé du GHT … .</w:t>
      </w:r>
    </w:p>
    <w:p w:rsidR="004855C0" w:rsidRDefault="004855C0" w:rsidP="00183999">
      <w:pPr>
        <w:jc w:val="both"/>
        <w:rPr>
          <w:szCs w:val="24"/>
        </w:rPr>
      </w:pPr>
      <w:r>
        <w:rPr>
          <w:szCs w:val="24"/>
        </w:rPr>
        <w:t>Elle a également pour objectif de contribuer à favoriser le maintien et/ou le retour à proximité de leurs lieux de vie des patients nécessitant des soins de suite et de réadaptation.</w:t>
      </w:r>
    </w:p>
    <w:p w:rsidR="006C4A7E" w:rsidRPr="00B576A3" w:rsidRDefault="006C4A7E" w:rsidP="006C4A7E">
      <w:pPr>
        <w:jc w:val="both"/>
        <w:rPr>
          <w:szCs w:val="24"/>
        </w:rPr>
      </w:pPr>
      <w:r w:rsidRPr="00B8167A">
        <w:rPr>
          <w:szCs w:val="24"/>
        </w:rPr>
        <w:t xml:space="preserve">Elle vise aussi notamment à permettre, via des </w:t>
      </w:r>
      <w:r w:rsidRPr="00954B13">
        <w:rPr>
          <w:szCs w:val="24"/>
        </w:rPr>
        <w:t xml:space="preserve">consultations </w:t>
      </w:r>
      <w:r w:rsidR="00B8167A" w:rsidRPr="00954B13">
        <w:rPr>
          <w:szCs w:val="24"/>
        </w:rPr>
        <w:t xml:space="preserve">avancées </w:t>
      </w:r>
      <w:r w:rsidRPr="00954B13">
        <w:rPr>
          <w:szCs w:val="24"/>
        </w:rPr>
        <w:t xml:space="preserve">réalisées au </w:t>
      </w:r>
      <w:r w:rsidR="00B8167A" w:rsidRPr="00954B13">
        <w:rPr>
          <w:szCs w:val="24"/>
        </w:rPr>
        <w:t xml:space="preserve">sein des établissements membres </w:t>
      </w:r>
      <w:r w:rsidRPr="00954B13">
        <w:rPr>
          <w:szCs w:val="24"/>
        </w:rPr>
        <w:t>du GHT, des admissions dire</w:t>
      </w:r>
      <w:r w:rsidR="00AD5A20">
        <w:rPr>
          <w:szCs w:val="24"/>
        </w:rPr>
        <w:t xml:space="preserve">ctes en SSR, à chaque fois que </w:t>
      </w:r>
      <w:r w:rsidR="00AD5A20" w:rsidRPr="00B576A3">
        <w:rPr>
          <w:szCs w:val="24"/>
        </w:rPr>
        <w:t xml:space="preserve">les besoins </w:t>
      </w:r>
      <w:r w:rsidRPr="00B576A3">
        <w:rPr>
          <w:szCs w:val="24"/>
        </w:rPr>
        <w:t>du patient le justifie</w:t>
      </w:r>
      <w:r w:rsidR="00AD5A20" w:rsidRPr="00B576A3">
        <w:rPr>
          <w:szCs w:val="24"/>
        </w:rPr>
        <w:t>nt</w:t>
      </w:r>
      <w:r w:rsidRPr="00B576A3">
        <w:rPr>
          <w:szCs w:val="24"/>
        </w:rPr>
        <w:t>.</w:t>
      </w:r>
    </w:p>
    <w:p w:rsidR="002210BA" w:rsidRDefault="002210BA" w:rsidP="00183999">
      <w:pPr>
        <w:jc w:val="both"/>
        <w:rPr>
          <w:szCs w:val="24"/>
        </w:rPr>
      </w:pPr>
    </w:p>
    <w:p w:rsidR="002210BA" w:rsidRDefault="002210BA" w:rsidP="00183999">
      <w:pPr>
        <w:jc w:val="both"/>
        <w:rPr>
          <w:b/>
          <w:szCs w:val="24"/>
        </w:rPr>
      </w:pPr>
      <w:r>
        <w:rPr>
          <w:b/>
          <w:szCs w:val="24"/>
        </w:rPr>
        <w:t>Article 3 – Parcours de soins</w:t>
      </w:r>
    </w:p>
    <w:p w:rsidR="00371C42" w:rsidRDefault="00371C42" w:rsidP="00183999">
      <w:pPr>
        <w:jc w:val="both"/>
        <w:rPr>
          <w:szCs w:val="24"/>
        </w:rPr>
      </w:pPr>
      <w:r>
        <w:rPr>
          <w:szCs w:val="24"/>
        </w:rPr>
        <w:t>Les établissements partenaires s’engagent, une fois le consentement préalable des pat</w:t>
      </w:r>
      <w:r w:rsidR="00CC5809">
        <w:rPr>
          <w:szCs w:val="24"/>
        </w:rPr>
        <w:t>ients obtenu</w:t>
      </w:r>
      <w:r>
        <w:rPr>
          <w:szCs w:val="24"/>
        </w:rPr>
        <w:t>, à les intégrer dans la filière</w:t>
      </w:r>
      <w:r w:rsidR="00020D8F">
        <w:rPr>
          <w:szCs w:val="24"/>
        </w:rPr>
        <w:t xml:space="preserve"> coordonnée</w:t>
      </w:r>
      <w:r>
        <w:rPr>
          <w:szCs w:val="24"/>
        </w:rPr>
        <w:t xml:space="preserve"> de soins de suite et de réadaptation. </w:t>
      </w:r>
    </w:p>
    <w:p w:rsidR="009A46AF" w:rsidRPr="00371C42" w:rsidRDefault="009A46AF" w:rsidP="00183999">
      <w:pPr>
        <w:jc w:val="both"/>
        <w:rPr>
          <w:szCs w:val="24"/>
        </w:rPr>
      </w:pPr>
    </w:p>
    <w:p w:rsidR="002210BA" w:rsidRPr="00B8167A" w:rsidRDefault="002210BA" w:rsidP="00183999">
      <w:pPr>
        <w:jc w:val="both"/>
        <w:rPr>
          <w:b/>
          <w:szCs w:val="24"/>
        </w:rPr>
      </w:pPr>
      <w:r w:rsidRPr="00B8167A">
        <w:rPr>
          <w:szCs w:val="24"/>
        </w:rPr>
        <w:tab/>
      </w:r>
      <w:r w:rsidRPr="00B8167A">
        <w:rPr>
          <w:b/>
          <w:szCs w:val="24"/>
        </w:rPr>
        <w:t>3.1 Prévention</w:t>
      </w:r>
      <w:r w:rsidR="00436E17" w:rsidRPr="00B8167A">
        <w:rPr>
          <w:b/>
          <w:szCs w:val="24"/>
        </w:rPr>
        <w:t xml:space="preserve"> </w:t>
      </w:r>
      <w:r w:rsidR="00B8167A" w:rsidRPr="00B8167A">
        <w:rPr>
          <w:b/>
          <w:szCs w:val="24"/>
        </w:rPr>
        <w:t>et é</w:t>
      </w:r>
      <w:r w:rsidR="00436E17" w:rsidRPr="00B8167A">
        <w:rPr>
          <w:b/>
          <w:szCs w:val="24"/>
        </w:rPr>
        <w:t>ducation thérapeutique du patient</w:t>
      </w:r>
    </w:p>
    <w:p w:rsidR="00517A0D" w:rsidRDefault="00517A0D" w:rsidP="00183999">
      <w:pPr>
        <w:jc w:val="both"/>
        <w:rPr>
          <w:szCs w:val="24"/>
        </w:rPr>
      </w:pPr>
      <w:r>
        <w:rPr>
          <w:szCs w:val="24"/>
        </w:rPr>
        <w:t xml:space="preserve">Dans le respect </w:t>
      </w:r>
      <w:r w:rsidR="002321CF">
        <w:rPr>
          <w:szCs w:val="24"/>
        </w:rPr>
        <w:t>du schéma régional de</w:t>
      </w:r>
      <w:r w:rsidR="00484C3B">
        <w:rPr>
          <w:szCs w:val="24"/>
        </w:rPr>
        <w:t xml:space="preserve"> prévention et des objectifs du schéma régional </w:t>
      </w:r>
      <w:r w:rsidR="002321CF">
        <w:rPr>
          <w:szCs w:val="24"/>
        </w:rPr>
        <w:t>d’organisation des soins</w:t>
      </w:r>
      <w:r w:rsidR="00484C3B">
        <w:rPr>
          <w:szCs w:val="24"/>
        </w:rPr>
        <w:t xml:space="preserve">, les établissements partenaires s’engagent à </w:t>
      </w:r>
      <w:r w:rsidR="00954B13">
        <w:rPr>
          <w:szCs w:val="24"/>
        </w:rPr>
        <w:t>développer</w:t>
      </w:r>
      <w:r w:rsidR="00484C3B">
        <w:rPr>
          <w:szCs w:val="24"/>
        </w:rPr>
        <w:t xml:space="preserve"> la prévention et la promotion des soins.</w:t>
      </w:r>
    </w:p>
    <w:p w:rsidR="00576844" w:rsidRDefault="002321CF" w:rsidP="00183999">
      <w:pPr>
        <w:jc w:val="both"/>
        <w:rPr>
          <w:szCs w:val="24"/>
        </w:rPr>
      </w:pPr>
      <w:r>
        <w:rPr>
          <w:szCs w:val="24"/>
        </w:rPr>
        <w:lastRenderedPageBreak/>
        <w:t>Ils favorisent la réduction des inégalités sociales et territoriales de santé et intègrent une offre de prévention dans le</w:t>
      </w:r>
      <w:r w:rsidR="00576844">
        <w:rPr>
          <w:szCs w:val="24"/>
        </w:rPr>
        <w:t xml:space="preserve"> parcours de soins des patients.</w:t>
      </w:r>
    </w:p>
    <w:p w:rsidR="00E33598" w:rsidRDefault="00576844" w:rsidP="00183999">
      <w:pPr>
        <w:jc w:val="both"/>
        <w:rPr>
          <w:szCs w:val="24"/>
        </w:rPr>
      </w:pPr>
      <w:r w:rsidRPr="00B8167A">
        <w:rPr>
          <w:szCs w:val="24"/>
        </w:rPr>
        <w:t>Cela passe</w:t>
      </w:r>
      <w:r w:rsidR="00F96A68" w:rsidRPr="00B8167A">
        <w:rPr>
          <w:szCs w:val="24"/>
        </w:rPr>
        <w:t xml:space="preserve"> notamment par </w:t>
      </w:r>
      <w:r w:rsidRPr="00B8167A">
        <w:rPr>
          <w:szCs w:val="24"/>
        </w:rPr>
        <w:t>le rôle majeur</w:t>
      </w:r>
      <w:r w:rsidR="00954B13">
        <w:rPr>
          <w:szCs w:val="24"/>
        </w:rPr>
        <w:t xml:space="preserve"> et privilégié</w:t>
      </w:r>
      <w:r w:rsidRPr="00B8167A">
        <w:rPr>
          <w:szCs w:val="24"/>
        </w:rPr>
        <w:t xml:space="preserve"> joué par les </w:t>
      </w:r>
      <w:r w:rsidR="00E33598" w:rsidRPr="00B8167A">
        <w:rPr>
          <w:szCs w:val="24"/>
        </w:rPr>
        <w:t>structure</w:t>
      </w:r>
      <w:r w:rsidRPr="00B8167A">
        <w:rPr>
          <w:szCs w:val="24"/>
        </w:rPr>
        <w:t xml:space="preserve">s </w:t>
      </w:r>
      <w:r w:rsidR="00B8167A" w:rsidRPr="00B8167A">
        <w:rPr>
          <w:szCs w:val="24"/>
        </w:rPr>
        <w:t>de soins de suite et de réadaptation</w:t>
      </w:r>
      <w:r w:rsidRPr="00B8167A">
        <w:rPr>
          <w:szCs w:val="24"/>
        </w:rPr>
        <w:t xml:space="preserve"> dans l</w:t>
      </w:r>
      <w:r w:rsidR="00F96A68" w:rsidRPr="00B8167A">
        <w:rPr>
          <w:szCs w:val="24"/>
        </w:rPr>
        <w:t>’éducation thérapeutique</w:t>
      </w:r>
      <w:r w:rsidRPr="00B8167A">
        <w:rPr>
          <w:szCs w:val="24"/>
        </w:rPr>
        <w:t xml:space="preserve"> du patient</w:t>
      </w:r>
      <w:r w:rsidR="00E33598" w:rsidRPr="00B8167A">
        <w:rPr>
          <w:szCs w:val="24"/>
        </w:rPr>
        <w:t xml:space="preserve">, </w:t>
      </w:r>
      <w:r w:rsidR="000853E5" w:rsidRPr="00B8167A">
        <w:rPr>
          <w:szCs w:val="24"/>
        </w:rPr>
        <w:t>une de</w:t>
      </w:r>
      <w:r w:rsidR="00E33598" w:rsidRPr="00B8167A">
        <w:rPr>
          <w:szCs w:val="24"/>
        </w:rPr>
        <w:t xml:space="preserve"> leur</w:t>
      </w:r>
      <w:r w:rsidR="000853E5" w:rsidRPr="00B8167A">
        <w:rPr>
          <w:szCs w:val="24"/>
        </w:rPr>
        <w:t>s missions de base</w:t>
      </w:r>
      <w:r w:rsidR="00E33598" w:rsidRPr="00B8167A">
        <w:rPr>
          <w:szCs w:val="24"/>
        </w:rPr>
        <w:t xml:space="preserve">, qui </w:t>
      </w:r>
      <w:r w:rsidR="00E33598" w:rsidRPr="00CD31CA">
        <w:rPr>
          <w:szCs w:val="24"/>
        </w:rPr>
        <w:t xml:space="preserve">s’adresse </w:t>
      </w:r>
      <w:r w:rsidR="00B8167A" w:rsidRPr="00CD31CA">
        <w:rPr>
          <w:szCs w:val="24"/>
        </w:rPr>
        <w:t>en particulier</w:t>
      </w:r>
      <w:r w:rsidR="00E33598" w:rsidRPr="00CD31CA">
        <w:rPr>
          <w:szCs w:val="24"/>
        </w:rPr>
        <w:t xml:space="preserve"> </w:t>
      </w:r>
      <w:r w:rsidR="00E33598" w:rsidRPr="00B8167A">
        <w:rPr>
          <w:szCs w:val="24"/>
        </w:rPr>
        <w:t>aux personnes atteintes d’une maladie chronique.</w:t>
      </w:r>
    </w:p>
    <w:p w:rsidR="00954B13" w:rsidRDefault="00954B13" w:rsidP="00183999">
      <w:pPr>
        <w:jc w:val="both"/>
        <w:rPr>
          <w:color w:val="0070C0"/>
          <w:szCs w:val="24"/>
        </w:rPr>
      </w:pPr>
      <w:r>
        <w:rPr>
          <w:szCs w:val="24"/>
        </w:rPr>
        <w:t>Il s’agit d’accompagner le patient dans l’élaboration progressive</w:t>
      </w:r>
      <w:r w:rsidR="00702DCA">
        <w:rPr>
          <w:szCs w:val="24"/>
        </w:rPr>
        <w:t xml:space="preserve"> de son projet de réinsertion. Ce </w:t>
      </w:r>
      <w:r w:rsidR="00702DCA" w:rsidRPr="00B576A3">
        <w:rPr>
          <w:szCs w:val="24"/>
        </w:rPr>
        <w:t xml:space="preserve">projet </w:t>
      </w:r>
      <w:r w:rsidR="00AD5A20" w:rsidRPr="00B576A3">
        <w:rPr>
          <w:szCs w:val="24"/>
        </w:rPr>
        <w:t>personnalisé de soin</w:t>
      </w:r>
      <w:r w:rsidR="00B576A3">
        <w:rPr>
          <w:szCs w:val="24"/>
        </w:rPr>
        <w:t>s</w:t>
      </w:r>
      <w:r w:rsidR="00AD5A20" w:rsidRPr="00B576A3">
        <w:rPr>
          <w:szCs w:val="24"/>
        </w:rPr>
        <w:t xml:space="preserve"> </w:t>
      </w:r>
      <w:r w:rsidR="00702DCA" w:rsidRPr="00B576A3">
        <w:rPr>
          <w:szCs w:val="24"/>
        </w:rPr>
        <w:t xml:space="preserve">doit être mis en œuvre dès la phase active, ce qui implique une coordination des actions au sein d’une </w:t>
      </w:r>
      <w:r w:rsidR="00702DCA">
        <w:rPr>
          <w:szCs w:val="24"/>
        </w:rPr>
        <w:t>équipe pluridisciplinaire et une interrelation étroite avec les différents établissements et professionnels partenaires au sein du parcours de soins.</w:t>
      </w:r>
    </w:p>
    <w:p w:rsidR="002F3BCC" w:rsidRDefault="002F3BCC" w:rsidP="00183999">
      <w:pPr>
        <w:jc w:val="both"/>
        <w:rPr>
          <w:szCs w:val="24"/>
        </w:rPr>
      </w:pPr>
      <w:r>
        <w:rPr>
          <w:szCs w:val="24"/>
        </w:rPr>
        <w:t>Les établissements partenaires préparent</w:t>
      </w:r>
      <w:r w:rsidR="003E0EE8">
        <w:rPr>
          <w:szCs w:val="24"/>
        </w:rPr>
        <w:t>, en collaboration,</w:t>
      </w:r>
      <w:r>
        <w:rPr>
          <w:szCs w:val="24"/>
        </w:rPr>
        <w:t xml:space="preserve"> et accompagnent la réinsertion familiale, sociale, scolaire ou professionnelle des patients pris en charge.</w:t>
      </w:r>
    </w:p>
    <w:p w:rsidR="009A46AF" w:rsidRPr="00517A0D" w:rsidRDefault="009A46AF" w:rsidP="00183999">
      <w:pPr>
        <w:jc w:val="both"/>
        <w:rPr>
          <w:szCs w:val="24"/>
        </w:rPr>
      </w:pPr>
    </w:p>
    <w:p w:rsidR="002210BA" w:rsidRDefault="00CD31CA" w:rsidP="00183999">
      <w:pPr>
        <w:jc w:val="both"/>
        <w:rPr>
          <w:b/>
          <w:szCs w:val="24"/>
        </w:rPr>
      </w:pPr>
      <w:r>
        <w:rPr>
          <w:b/>
          <w:szCs w:val="24"/>
        </w:rPr>
        <w:tab/>
        <w:t>3.2</w:t>
      </w:r>
      <w:r w:rsidR="002210BA">
        <w:rPr>
          <w:b/>
          <w:szCs w:val="24"/>
        </w:rPr>
        <w:t xml:space="preserve"> Soins</w:t>
      </w:r>
    </w:p>
    <w:p w:rsidR="00BC56C8" w:rsidRDefault="00BC56C8" w:rsidP="00183999">
      <w:pPr>
        <w:jc w:val="both"/>
        <w:rPr>
          <w:szCs w:val="24"/>
        </w:rPr>
      </w:pPr>
      <w:r>
        <w:rPr>
          <w:szCs w:val="24"/>
        </w:rPr>
        <w:t>Les établissements partenaires proposent et assurent une continuité et une coordination des soins ainsi qu’une prise en charge optimale des patients, quels que soient la structure et leur lieu de traitement.</w:t>
      </w:r>
    </w:p>
    <w:p w:rsidR="00BC56C8" w:rsidRDefault="00BC56C8" w:rsidP="00183999">
      <w:pPr>
        <w:jc w:val="both"/>
        <w:rPr>
          <w:szCs w:val="24"/>
        </w:rPr>
      </w:pPr>
      <w:r>
        <w:rPr>
          <w:szCs w:val="24"/>
        </w:rPr>
        <w:t>Ils favorisent la coopération et la coordination entre leurs établissements dont les compétences et les moyens de prise en charge présentent des complémentarités.</w:t>
      </w:r>
    </w:p>
    <w:p w:rsidR="00BC56C8" w:rsidRPr="00BC56C8" w:rsidRDefault="00BC56C8" w:rsidP="00BC56C8">
      <w:pPr>
        <w:jc w:val="both"/>
        <w:rPr>
          <w:szCs w:val="24"/>
        </w:rPr>
      </w:pPr>
      <w:r>
        <w:rPr>
          <w:szCs w:val="24"/>
        </w:rPr>
        <w:t>Ils promeuvent la délivrance de soins</w:t>
      </w:r>
      <w:r w:rsidR="00B662C6">
        <w:rPr>
          <w:szCs w:val="24"/>
        </w:rPr>
        <w:t>,</w:t>
      </w:r>
      <w:r>
        <w:rPr>
          <w:szCs w:val="24"/>
        </w:rPr>
        <w:t xml:space="preserve"> de </w:t>
      </w:r>
      <w:r w:rsidRPr="00CD31CA">
        <w:rPr>
          <w:szCs w:val="24"/>
        </w:rPr>
        <w:t xml:space="preserve">proximité </w:t>
      </w:r>
      <w:r w:rsidR="00B662C6" w:rsidRPr="00CD31CA">
        <w:rPr>
          <w:szCs w:val="24"/>
        </w:rPr>
        <w:t>et</w:t>
      </w:r>
      <w:r w:rsidR="0007527D">
        <w:rPr>
          <w:szCs w:val="24"/>
        </w:rPr>
        <w:t>/ou</w:t>
      </w:r>
      <w:r w:rsidR="00B662C6" w:rsidRPr="00CD31CA">
        <w:rPr>
          <w:szCs w:val="24"/>
        </w:rPr>
        <w:t xml:space="preserve"> de recours, </w:t>
      </w:r>
      <w:r w:rsidRPr="00CD31CA">
        <w:rPr>
          <w:szCs w:val="24"/>
        </w:rPr>
        <w:t xml:space="preserve">de </w:t>
      </w:r>
      <w:r>
        <w:rPr>
          <w:szCs w:val="24"/>
        </w:rPr>
        <w:t>qualité. Notamment, ils contribuent à l’amélioration</w:t>
      </w:r>
      <w:r w:rsidRPr="00BC56C8">
        <w:rPr>
          <w:szCs w:val="24"/>
        </w:rPr>
        <w:t xml:space="preserve"> de la prise en charge et </w:t>
      </w:r>
      <w:r>
        <w:rPr>
          <w:szCs w:val="24"/>
        </w:rPr>
        <w:t>du</w:t>
      </w:r>
      <w:r w:rsidRPr="00BC56C8">
        <w:rPr>
          <w:szCs w:val="24"/>
        </w:rPr>
        <w:t xml:space="preserve"> traitement des patients nécessitant des soins de suite et de réadaptation et domiciliés ou séjournant dans le territoire </w:t>
      </w:r>
      <w:r w:rsidR="00AD5A20" w:rsidRPr="00B576A3">
        <w:rPr>
          <w:szCs w:val="24"/>
        </w:rPr>
        <w:t>du GHT</w:t>
      </w:r>
      <w:r w:rsidR="00BF7475">
        <w:rPr>
          <w:szCs w:val="24"/>
        </w:rPr>
        <w:t>.</w:t>
      </w:r>
    </w:p>
    <w:p w:rsidR="00BC56C8" w:rsidRPr="009F581C" w:rsidRDefault="00BF7475" w:rsidP="00BF7475">
      <w:pPr>
        <w:jc w:val="both"/>
        <w:rPr>
          <w:szCs w:val="24"/>
        </w:rPr>
      </w:pPr>
      <w:r w:rsidRPr="009F581C">
        <w:rPr>
          <w:szCs w:val="24"/>
        </w:rPr>
        <w:t>Ils garantissent la transmission de</w:t>
      </w:r>
      <w:r w:rsidR="00B662C6" w:rsidRPr="009F581C">
        <w:rPr>
          <w:szCs w:val="24"/>
        </w:rPr>
        <w:t xml:space="preserve"> leur</w:t>
      </w:r>
      <w:r w:rsidRPr="009F581C">
        <w:rPr>
          <w:szCs w:val="24"/>
        </w:rPr>
        <w:t>s données médicales, thérapeutiques et médico-sociales.</w:t>
      </w:r>
    </w:p>
    <w:p w:rsidR="00CD31CA" w:rsidRPr="009F581C" w:rsidRDefault="0007527D" w:rsidP="00BF7475">
      <w:pPr>
        <w:jc w:val="both"/>
        <w:rPr>
          <w:szCs w:val="24"/>
        </w:rPr>
      </w:pPr>
      <w:r w:rsidRPr="009F581C">
        <w:rPr>
          <w:szCs w:val="24"/>
        </w:rPr>
        <w:t>Le président de la conférence médicale de l’établissement ou son représentant</w:t>
      </w:r>
      <w:r w:rsidR="00CD31CA" w:rsidRPr="009F581C">
        <w:rPr>
          <w:szCs w:val="24"/>
        </w:rPr>
        <w:t xml:space="preserve"> </w:t>
      </w:r>
      <w:r w:rsidRPr="009F581C">
        <w:rPr>
          <w:szCs w:val="24"/>
        </w:rPr>
        <w:t>peut</w:t>
      </w:r>
      <w:r w:rsidR="00CD31CA" w:rsidRPr="009F581C">
        <w:rPr>
          <w:szCs w:val="24"/>
        </w:rPr>
        <w:t xml:space="preserve"> participer aux réunions de la commission médicale du GHT lorsque l’activité de soins de suite et de réadaptation faisant l’objet de la présente conventi</w:t>
      </w:r>
      <w:r w:rsidR="001F75E9" w:rsidRPr="009F581C">
        <w:rPr>
          <w:szCs w:val="24"/>
        </w:rPr>
        <w:t xml:space="preserve">on y est </w:t>
      </w:r>
      <w:r w:rsidR="00CD31CA" w:rsidRPr="009F581C">
        <w:rPr>
          <w:szCs w:val="24"/>
        </w:rPr>
        <w:t>portée à l’ordre du jour.</w:t>
      </w:r>
    </w:p>
    <w:p w:rsidR="00E67620" w:rsidRPr="00BF7475" w:rsidRDefault="00E67620" w:rsidP="00BF7475">
      <w:pPr>
        <w:jc w:val="both"/>
        <w:rPr>
          <w:szCs w:val="24"/>
        </w:rPr>
      </w:pPr>
    </w:p>
    <w:p w:rsidR="005A134C" w:rsidRPr="00BC56C8" w:rsidRDefault="007B31F3" w:rsidP="00BC56C8">
      <w:pPr>
        <w:jc w:val="both"/>
        <w:rPr>
          <w:szCs w:val="24"/>
        </w:rPr>
      </w:pPr>
      <w:r w:rsidRPr="00BC56C8">
        <w:rPr>
          <w:b/>
          <w:szCs w:val="24"/>
        </w:rPr>
        <w:t xml:space="preserve">Article 4 </w:t>
      </w:r>
      <w:r w:rsidRPr="00B662C6">
        <w:rPr>
          <w:b/>
          <w:strike/>
          <w:szCs w:val="24"/>
        </w:rPr>
        <w:t>–</w:t>
      </w:r>
      <w:r w:rsidR="00CD31CA" w:rsidRPr="00CD31CA">
        <w:rPr>
          <w:b/>
          <w:color w:val="0070C0"/>
          <w:szCs w:val="24"/>
        </w:rPr>
        <w:t xml:space="preserve"> </w:t>
      </w:r>
      <w:r w:rsidR="00B662C6" w:rsidRPr="00CD31CA">
        <w:rPr>
          <w:b/>
          <w:szCs w:val="24"/>
        </w:rPr>
        <w:t xml:space="preserve">Modalités et complémentarité </w:t>
      </w:r>
      <w:r w:rsidRPr="00BC56C8">
        <w:rPr>
          <w:b/>
          <w:szCs w:val="24"/>
        </w:rPr>
        <w:t>de prise en charge en soins de suite et de réadaptation</w:t>
      </w:r>
    </w:p>
    <w:p w:rsidR="00BB7A2F" w:rsidRPr="00CD31CA" w:rsidRDefault="00E67620" w:rsidP="00183999">
      <w:pPr>
        <w:jc w:val="both"/>
        <w:rPr>
          <w:szCs w:val="24"/>
        </w:rPr>
      </w:pPr>
      <w:r>
        <w:rPr>
          <w:szCs w:val="24"/>
        </w:rPr>
        <w:t>Les soins de suite et de réadaptation sont accessibles aux adultes ou aux enfants et adolescents, en hospitalisation complète, en hospitalisation à temps partiel</w:t>
      </w:r>
      <w:r w:rsidR="00B662C6">
        <w:rPr>
          <w:szCs w:val="24"/>
        </w:rPr>
        <w:t xml:space="preserve">, </w:t>
      </w:r>
      <w:r w:rsidR="00B662C6" w:rsidRPr="00CD31CA">
        <w:rPr>
          <w:szCs w:val="24"/>
        </w:rPr>
        <w:t>en actes et consultations externes (ACE)</w:t>
      </w:r>
      <w:r w:rsidRPr="00CD31CA">
        <w:rPr>
          <w:szCs w:val="24"/>
        </w:rPr>
        <w:t xml:space="preserve"> ou en alternative à l’hospitalisation. </w:t>
      </w:r>
    </w:p>
    <w:p w:rsidR="00E67620" w:rsidRDefault="00E67620" w:rsidP="00183999">
      <w:pPr>
        <w:jc w:val="both"/>
        <w:rPr>
          <w:szCs w:val="24"/>
        </w:rPr>
      </w:pPr>
      <w:r>
        <w:rPr>
          <w:szCs w:val="24"/>
        </w:rPr>
        <w:t xml:space="preserve">Les soins de suite et de réadaptation peuvent être exercés selon la modalité polyvalente </w:t>
      </w:r>
      <w:r w:rsidR="0007527D">
        <w:rPr>
          <w:szCs w:val="24"/>
        </w:rPr>
        <w:t>et/</w:t>
      </w:r>
      <w:r>
        <w:rPr>
          <w:szCs w:val="24"/>
        </w:rPr>
        <w:t xml:space="preserve">ou selon </w:t>
      </w:r>
      <w:r w:rsidR="0007527D">
        <w:rPr>
          <w:szCs w:val="24"/>
        </w:rPr>
        <w:t>une ou plusieurs des</w:t>
      </w:r>
      <w:r>
        <w:rPr>
          <w:szCs w:val="24"/>
        </w:rPr>
        <w:t xml:space="preserve"> spécialités suivantes : affections de l’appareil locomoteur, affections du système nerveux, affections</w:t>
      </w:r>
      <w:r w:rsidR="00CD31CA">
        <w:rPr>
          <w:szCs w:val="24"/>
        </w:rPr>
        <w:t xml:space="preserve"> cardio-vasculaires, affections </w:t>
      </w:r>
      <w:r>
        <w:rPr>
          <w:szCs w:val="24"/>
        </w:rPr>
        <w:t xml:space="preserve">respiratoires, affections des systèmes digestif, métabolique et endocrinien, affections </w:t>
      </w:r>
      <w:proofErr w:type="spellStart"/>
      <w:r>
        <w:rPr>
          <w:szCs w:val="24"/>
        </w:rPr>
        <w:t>onco</w:t>
      </w:r>
      <w:proofErr w:type="spellEnd"/>
      <w:r>
        <w:rPr>
          <w:szCs w:val="24"/>
        </w:rPr>
        <w:t xml:space="preserve">-hématologiques, affections des brûlés, affections liées aux conduites addictives, affections de la personne âgée </w:t>
      </w:r>
      <w:proofErr w:type="spellStart"/>
      <w:r>
        <w:rPr>
          <w:szCs w:val="24"/>
        </w:rPr>
        <w:t>polypathologique</w:t>
      </w:r>
      <w:proofErr w:type="spellEnd"/>
      <w:r>
        <w:rPr>
          <w:szCs w:val="24"/>
        </w:rPr>
        <w:t>, dépendante ou à risque de dépendance.</w:t>
      </w:r>
    </w:p>
    <w:p w:rsidR="00E67620" w:rsidRDefault="00E67620" w:rsidP="00183999">
      <w:pPr>
        <w:jc w:val="both"/>
        <w:rPr>
          <w:szCs w:val="24"/>
        </w:rPr>
      </w:pPr>
      <w:r>
        <w:rPr>
          <w:szCs w:val="24"/>
        </w:rPr>
        <w:t xml:space="preserve">Les établissements membres du GHT … assurent la prise en charge de patients en soins de suite et de réadaptation pour les formes et modalités suivantes : </w:t>
      </w:r>
    </w:p>
    <w:p w:rsidR="00E67620" w:rsidRDefault="00E67620" w:rsidP="00E67620">
      <w:pPr>
        <w:pStyle w:val="Paragraphedeliste"/>
        <w:numPr>
          <w:ilvl w:val="0"/>
          <w:numId w:val="3"/>
        </w:numPr>
        <w:jc w:val="both"/>
        <w:rPr>
          <w:szCs w:val="24"/>
        </w:rPr>
      </w:pPr>
      <w:r>
        <w:rPr>
          <w:szCs w:val="24"/>
        </w:rPr>
        <w:lastRenderedPageBreak/>
        <w:t>…</w:t>
      </w:r>
    </w:p>
    <w:p w:rsidR="00E67620" w:rsidRDefault="00E67620" w:rsidP="00E67620">
      <w:pPr>
        <w:pStyle w:val="Paragraphedeliste"/>
        <w:numPr>
          <w:ilvl w:val="0"/>
          <w:numId w:val="3"/>
        </w:numPr>
        <w:jc w:val="both"/>
        <w:rPr>
          <w:szCs w:val="24"/>
        </w:rPr>
      </w:pPr>
      <w:r>
        <w:rPr>
          <w:szCs w:val="24"/>
        </w:rPr>
        <w:t>…</w:t>
      </w:r>
    </w:p>
    <w:p w:rsidR="00E67620" w:rsidRDefault="00E67620" w:rsidP="00E67620">
      <w:pPr>
        <w:jc w:val="both"/>
        <w:rPr>
          <w:szCs w:val="24"/>
        </w:rPr>
      </w:pPr>
      <w:r>
        <w:rPr>
          <w:szCs w:val="24"/>
        </w:rPr>
        <w:t>L’établissement de santé privé … assure la prise en charge de patients en soins de suite et de réadaptation pour les formes et modalités suivantes :</w:t>
      </w:r>
    </w:p>
    <w:p w:rsidR="00E67620" w:rsidRDefault="00E67620" w:rsidP="00E67620">
      <w:pPr>
        <w:pStyle w:val="Paragraphedeliste"/>
        <w:numPr>
          <w:ilvl w:val="0"/>
          <w:numId w:val="3"/>
        </w:numPr>
        <w:jc w:val="both"/>
        <w:rPr>
          <w:szCs w:val="24"/>
        </w:rPr>
      </w:pPr>
      <w:r>
        <w:rPr>
          <w:szCs w:val="24"/>
        </w:rPr>
        <w:t>…</w:t>
      </w:r>
    </w:p>
    <w:p w:rsidR="00E67620" w:rsidRDefault="00E67620" w:rsidP="00E67620">
      <w:pPr>
        <w:pStyle w:val="Paragraphedeliste"/>
        <w:numPr>
          <w:ilvl w:val="0"/>
          <w:numId w:val="3"/>
        </w:numPr>
        <w:jc w:val="both"/>
        <w:rPr>
          <w:szCs w:val="24"/>
        </w:rPr>
      </w:pPr>
      <w:r>
        <w:rPr>
          <w:szCs w:val="24"/>
        </w:rPr>
        <w:t>…</w:t>
      </w:r>
    </w:p>
    <w:p w:rsidR="00CD31CA" w:rsidRPr="00CD31CA" w:rsidRDefault="00CD31CA" w:rsidP="008B470F">
      <w:pPr>
        <w:jc w:val="both"/>
        <w:rPr>
          <w:color w:val="0070C0"/>
          <w:szCs w:val="24"/>
        </w:rPr>
      </w:pPr>
      <w:r w:rsidRPr="00CD31CA">
        <w:rPr>
          <w:szCs w:val="24"/>
        </w:rPr>
        <w:t xml:space="preserve">Dans le cas où les établissements membres du GHT assurent des prises en charges en soins de suite et de réadaptation identiques à celles assurées par l’établissement partenaire, la filière des patients est organisée de la façon suivante : </w:t>
      </w:r>
      <w:r w:rsidRPr="007453DE">
        <w:rPr>
          <w:i/>
          <w:szCs w:val="24"/>
        </w:rPr>
        <w:t>indiquer l’organisation souhaitée.</w:t>
      </w:r>
    </w:p>
    <w:p w:rsidR="0007527D" w:rsidRDefault="0007527D" w:rsidP="0007527D">
      <w:pPr>
        <w:jc w:val="both"/>
        <w:rPr>
          <w:b/>
          <w:szCs w:val="24"/>
        </w:rPr>
      </w:pPr>
    </w:p>
    <w:p w:rsidR="0007527D" w:rsidRDefault="0007527D" w:rsidP="0007527D">
      <w:pPr>
        <w:jc w:val="both"/>
        <w:rPr>
          <w:b/>
          <w:szCs w:val="24"/>
        </w:rPr>
      </w:pPr>
      <w:r>
        <w:rPr>
          <w:b/>
          <w:szCs w:val="24"/>
        </w:rPr>
        <w:t>Article 5 – Principe de fonctionnement</w:t>
      </w:r>
    </w:p>
    <w:p w:rsidR="0007527D" w:rsidRDefault="0007527D" w:rsidP="0007527D">
      <w:pPr>
        <w:jc w:val="both"/>
        <w:rPr>
          <w:szCs w:val="24"/>
        </w:rPr>
      </w:pPr>
      <w:r>
        <w:rPr>
          <w:szCs w:val="24"/>
        </w:rPr>
        <w:t>La coopération et l’action de chaque établissement partenaire seront réalisées dans le respect des principes de libre-choix et de consentement des patients et dans le respect des règles déontologiques.</w:t>
      </w:r>
    </w:p>
    <w:p w:rsidR="0007527D" w:rsidRDefault="0007527D" w:rsidP="0007527D">
      <w:pPr>
        <w:jc w:val="both"/>
        <w:rPr>
          <w:szCs w:val="24"/>
        </w:rPr>
      </w:pPr>
      <w:r>
        <w:rPr>
          <w:szCs w:val="24"/>
        </w:rPr>
        <w:t>Cette coopération sera rendue effective notamment par la définition commune des modalités et des critères d’accueil des patients dans chaque structure, par l’organisation de réunions régulières de coordination entre les référents médicaux prescripteurs des établissements et par l’évaluation du dispositif.</w:t>
      </w:r>
    </w:p>
    <w:p w:rsidR="00377150" w:rsidRDefault="00377150" w:rsidP="00E67620">
      <w:pPr>
        <w:jc w:val="both"/>
        <w:rPr>
          <w:b/>
          <w:szCs w:val="24"/>
        </w:rPr>
      </w:pPr>
    </w:p>
    <w:p w:rsidR="008B666A" w:rsidRDefault="008B666A" w:rsidP="00E67620">
      <w:pPr>
        <w:jc w:val="both"/>
        <w:rPr>
          <w:szCs w:val="24"/>
        </w:rPr>
      </w:pPr>
      <w:r>
        <w:rPr>
          <w:b/>
          <w:szCs w:val="24"/>
        </w:rPr>
        <w:t xml:space="preserve">Article </w:t>
      </w:r>
      <w:r w:rsidR="0007527D">
        <w:rPr>
          <w:b/>
          <w:szCs w:val="24"/>
        </w:rPr>
        <w:t>6</w:t>
      </w:r>
      <w:r>
        <w:rPr>
          <w:b/>
          <w:szCs w:val="24"/>
        </w:rPr>
        <w:t xml:space="preserve"> –</w:t>
      </w:r>
      <w:r w:rsidR="00E8244F">
        <w:rPr>
          <w:b/>
          <w:szCs w:val="24"/>
        </w:rPr>
        <w:t xml:space="preserve"> Transferts</w:t>
      </w:r>
    </w:p>
    <w:p w:rsidR="008B666A" w:rsidRPr="00E06D58" w:rsidRDefault="00E8244F" w:rsidP="00E67620">
      <w:pPr>
        <w:jc w:val="both"/>
        <w:rPr>
          <w:i/>
          <w:szCs w:val="24"/>
        </w:rPr>
      </w:pPr>
      <w:r w:rsidRPr="00E06D58">
        <w:rPr>
          <w:i/>
          <w:szCs w:val="24"/>
        </w:rPr>
        <w:t>Prévoir les modalités de transfert</w:t>
      </w:r>
      <w:r w:rsidR="00A34CB3" w:rsidRPr="00E06D58">
        <w:rPr>
          <w:i/>
          <w:szCs w:val="24"/>
        </w:rPr>
        <w:t xml:space="preserve"> des patients</w:t>
      </w:r>
      <w:r w:rsidRPr="00E06D58">
        <w:rPr>
          <w:i/>
          <w:szCs w:val="24"/>
        </w:rPr>
        <w:t xml:space="preserve"> vers un établissement de court séjour ou d’hospitalisation à domicile</w:t>
      </w:r>
      <w:r w:rsidR="008B470F" w:rsidRPr="00E06D58">
        <w:rPr>
          <w:i/>
          <w:szCs w:val="24"/>
        </w:rPr>
        <w:t>, durant l’hospitalisation du patient en SSR</w:t>
      </w:r>
      <w:r w:rsidRPr="00E06D58">
        <w:rPr>
          <w:i/>
          <w:szCs w:val="24"/>
        </w:rPr>
        <w:t>.</w:t>
      </w:r>
    </w:p>
    <w:p w:rsidR="00A34CB3" w:rsidRPr="00E06D58" w:rsidRDefault="00A34CB3" w:rsidP="00E67620">
      <w:pPr>
        <w:jc w:val="both"/>
        <w:rPr>
          <w:i/>
          <w:szCs w:val="24"/>
        </w:rPr>
      </w:pPr>
      <w:r w:rsidRPr="00E06D58">
        <w:rPr>
          <w:i/>
          <w:szCs w:val="24"/>
        </w:rPr>
        <w:t>Prévoir les modalités de transfert des patients dans un établissement autorisé à prendre en charge une affection dont l’établissement initial ne dispose pas.</w:t>
      </w:r>
    </w:p>
    <w:p w:rsidR="008B470F" w:rsidRPr="009F581C" w:rsidRDefault="00CD31CA" w:rsidP="00E67620">
      <w:pPr>
        <w:jc w:val="both"/>
        <w:rPr>
          <w:i/>
          <w:szCs w:val="24"/>
        </w:rPr>
      </w:pPr>
      <w:r w:rsidRPr="009F581C">
        <w:rPr>
          <w:i/>
          <w:szCs w:val="24"/>
        </w:rPr>
        <w:t>Préciser les modalités de transfert existantes prévues dans les conventions de partenariat</w:t>
      </w:r>
      <w:r w:rsidR="00D0471C" w:rsidRPr="009F581C">
        <w:rPr>
          <w:i/>
          <w:szCs w:val="24"/>
        </w:rPr>
        <w:t xml:space="preserve"> annexées à la présente convention.</w:t>
      </w:r>
    </w:p>
    <w:p w:rsidR="00B35331" w:rsidRDefault="00B35331" w:rsidP="00E67620">
      <w:pPr>
        <w:jc w:val="both"/>
        <w:rPr>
          <w:szCs w:val="24"/>
        </w:rPr>
      </w:pPr>
    </w:p>
    <w:p w:rsidR="00B35331" w:rsidRDefault="00B35331" w:rsidP="00E67620">
      <w:pPr>
        <w:jc w:val="both"/>
        <w:rPr>
          <w:b/>
          <w:szCs w:val="24"/>
        </w:rPr>
      </w:pPr>
      <w:r>
        <w:rPr>
          <w:b/>
          <w:szCs w:val="24"/>
        </w:rPr>
        <w:t xml:space="preserve">Article 7 – </w:t>
      </w:r>
      <w:r w:rsidR="004728F4">
        <w:rPr>
          <w:b/>
          <w:szCs w:val="24"/>
        </w:rPr>
        <w:t>Gradation des soins</w:t>
      </w:r>
    </w:p>
    <w:p w:rsidR="004728F4" w:rsidRDefault="004728F4" w:rsidP="00E67620">
      <w:pPr>
        <w:jc w:val="both"/>
        <w:rPr>
          <w:szCs w:val="24"/>
        </w:rPr>
      </w:pPr>
      <w:r>
        <w:rPr>
          <w:szCs w:val="24"/>
        </w:rPr>
        <w:t>La présente convention permet aux établissements partenaires de proposer une meilleure répartition de l’offre de soins de su</w:t>
      </w:r>
      <w:r w:rsidRPr="00D0471C">
        <w:rPr>
          <w:szCs w:val="24"/>
        </w:rPr>
        <w:t>ite et d</w:t>
      </w:r>
      <w:r w:rsidR="00CD227D" w:rsidRPr="00D0471C">
        <w:rPr>
          <w:szCs w:val="24"/>
        </w:rPr>
        <w:t>e réadaptation sur le territoire</w:t>
      </w:r>
      <w:r w:rsidR="00262949" w:rsidRPr="00D0471C">
        <w:rPr>
          <w:szCs w:val="24"/>
        </w:rPr>
        <w:t xml:space="preserve"> et </w:t>
      </w:r>
      <w:r w:rsidR="0007527D">
        <w:rPr>
          <w:szCs w:val="24"/>
        </w:rPr>
        <w:t>favoriser</w:t>
      </w:r>
      <w:r w:rsidR="00262949" w:rsidRPr="00D0471C">
        <w:rPr>
          <w:szCs w:val="24"/>
        </w:rPr>
        <w:t xml:space="preserve"> un égal accès aux soins pour les usagers</w:t>
      </w:r>
      <w:r w:rsidR="00CD227D" w:rsidRPr="00D0471C">
        <w:rPr>
          <w:szCs w:val="24"/>
        </w:rPr>
        <w:t>.</w:t>
      </w:r>
    </w:p>
    <w:p w:rsidR="007453DE" w:rsidRPr="00C17BD3" w:rsidRDefault="007453DE" w:rsidP="007453DE">
      <w:pPr>
        <w:jc w:val="both"/>
        <w:rPr>
          <w:szCs w:val="24"/>
        </w:rPr>
      </w:pPr>
      <w:r>
        <w:rPr>
          <w:szCs w:val="24"/>
        </w:rPr>
        <w:t>La présente convention permet la plus grande complémentarité des établissements partenaires, facilitant et améliorant ainsi la prise en charge graduée des patients et la fluidité de leurs parcours de soins.</w:t>
      </w:r>
    </w:p>
    <w:p w:rsidR="007453DE" w:rsidRDefault="007453DE" w:rsidP="00E67620">
      <w:pPr>
        <w:jc w:val="both"/>
        <w:rPr>
          <w:szCs w:val="24"/>
        </w:rPr>
      </w:pPr>
    </w:p>
    <w:p w:rsidR="00CD227D" w:rsidRDefault="00CD227D" w:rsidP="00E67620">
      <w:pPr>
        <w:jc w:val="both"/>
        <w:rPr>
          <w:szCs w:val="24"/>
        </w:rPr>
      </w:pPr>
      <w:r>
        <w:rPr>
          <w:szCs w:val="24"/>
        </w:rPr>
        <w:lastRenderedPageBreak/>
        <w:t xml:space="preserve">Dès lors que la prise en charge du patient ne nécessite pas un niveau de recours spécialisé, </w:t>
      </w:r>
      <w:r w:rsidR="0007527D">
        <w:rPr>
          <w:szCs w:val="24"/>
        </w:rPr>
        <w:t>l’établissement privé partenaire</w:t>
      </w:r>
      <w:r>
        <w:rPr>
          <w:szCs w:val="24"/>
        </w:rPr>
        <w:t xml:space="preserve"> …,</w:t>
      </w:r>
      <w:r w:rsidR="0007527D">
        <w:rPr>
          <w:szCs w:val="24"/>
        </w:rPr>
        <w:t xml:space="preserve"> titulaire</w:t>
      </w:r>
      <w:r>
        <w:rPr>
          <w:szCs w:val="24"/>
        </w:rPr>
        <w:t xml:space="preserve"> d’une autorisation de soins de suite et de r</w:t>
      </w:r>
      <w:r w:rsidR="0007527D">
        <w:rPr>
          <w:szCs w:val="24"/>
        </w:rPr>
        <w:t>éadaptation polyvalents assure</w:t>
      </w:r>
      <w:r>
        <w:rPr>
          <w:szCs w:val="24"/>
        </w:rPr>
        <w:t xml:space="preserve"> l’offre de soins au niveau local.</w:t>
      </w:r>
    </w:p>
    <w:p w:rsidR="00262949" w:rsidRPr="009F581C" w:rsidRDefault="00262949" w:rsidP="00E67620">
      <w:pPr>
        <w:jc w:val="both"/>
        <w:rPr>
          <w:b/>
          <w:szCs w:val="24"/>
          <w:u w:val="single"/>
        </w:rPr>
      </w:pPr>
      <w:r w:rsidRPr="009F581C">
        <w:rPr>
          <w:b/>
          <w:szCs w:val="24"/>
          <w:u w:val="single"/>
        </w:rPr>
        <w:t xml:space="preserve">OU </w:t>
      </w:r>
    </w:p>
    <w:p w:rsidR="00C17BD3" w:rsidRDefault="0080577F" w:rsidP="00E67620">
      <w:pPr>
        <w:jc w:val="both"/>
        <w:rPr>
          <w:szCs w:val="24"/>
        </w:rPr>
      </w:pPr>
      <w:r>
        <w:rPr>
          <w:szCs w:val="24"/>
        </w:rPr>
        <w:t>L’établissement privé partenaire titulaire</w:t>
      </w:r>
      <w:r w:rsidR="00C17BD3">
        <w:rPr>
          <w:szCs w:val="24"/>
        </w:rPr>
        <w:t xml:space="preserve"> d’une autorisation de soins de suite et de r</w:t>
      </w:r>
      <w:r>
        <w:rPr>
          <w:szCs w:val="24"/>
        </w:rPr>
        <w:t>éadaptation spécialisé</w:t>
      </w:r>
      <w:r w:rsidR="00AD5A20" w:rsidRPr="00B576A3">
        <w:rPr>
          <w:szCs w:val="24"/>
        </w:rPr>
        <w:t>e</w:t>
      </w:r>
      <w:r>
        <w:rPr>
          <w:szCs w:val="24"/>
        </w:rPr>
        <w:t xml:space="preserve"> assure</w:t>
      </w:r>
      <w:r w:rsidR="00C17BD3">
        <w:rPr>
          <w:szCs w:val="24"/>
        </w:rPr>
        <w:t xml:space="preserve"> la couverture de</w:t>
      </w:r>
      <w:r>
        <w:rPr>
          <w:szCs w:val="24"/>
        </w:rPr>
        <w:t>s</w:t>
      </w:r>
      <w:r w:rsidR="00C17BD3">
        <w:rPr>
          <w:szCs w:val="24"/>
        </w:rPr>
        <w:t xml:space="preserve"> besoins de la population au niveau territorial</w:t>
      </w:r>
      <w:r w:rsidR="00262949">
        <w:rPr>
          <w:szCs w:val="24"/>
        </w:rPr>
        <w:t xml:space="preserve"> </w:t>
      </w:r>
      <w:r w:rsidR="00262949" w:rsidRPr="00D0471C">
        <w:rPr>
          <w:szCs w:val="24"/>
        </w:rPr>
        <w:t>ou régional</w:t>
      </w:r>
      <w:r>
        <w:rPr>
          <w:szCs w:val="24"/>
        </w:rPr>
        <w:t xml:space="preserve">, voire </w:t>
      </w:r>
      <w:proofErr w:type="spellStart"/>
      <w:r>
        <w:rPr>
          <w:szCs w:val="24"/>
        </w:rPr>
        <w:t>extra-régional</w:t>
      </w:r>
      <w:proofErr w:type="spellEnd"/>
      <w:r>
        <w:rPr>
          <w:szCs w:val="24"/>
        </w:rPr>
        <w:t>.</w:t>
      </w:r>
    </w:p>
    <w:p w:rsidR="00CD6913" w:rsidRPr="00787172" w:rsidRDefault="00AD5A20" w:rsidP="00E67620">
      <w:pPr>
        <w:jc w:val="both"/>
        <w:rPr>
          <w:szCs w:val="24"/>
        </w:rPr>
      </w:pPr>
      <w:r w:rsidRPr="00B576A3">
        <w:rPr>
          <w:szCs w:val="24"/>
        </w:rPr>
        <w:t>Il</w:t>
      </w:r>
      <w:r w:rsidR="00787172" w:rsidRPr="00B576A3">
        <w:rPr>
          <w:szCs w:val="24"/>
        </w:rPr>
        <w:t xml:space="preserve"> </w:t>
      </w:r>
      <w:r w:rsidR="008066B0" w:rsidRPr="00B576A3">
        <w:rPr>
          <w:szCs w:val="24"/>
        </w:rPr>
        <w:t>assure</w:t>
      </w:r>
      <w:r w:rsidR="00787172" w:rsidRPr="00B576A3">
        <w:rPr>
          <w:szCs w:val="24"/>
        </w:rPr>
        <w:t xml:space="preserve"> </w:t>
      </w:r>
      <w:r w:rsidR="00CC018B" w:rsidRPr="00B576A3">
        <w:rPr>
          <w:szCs w:val="24"/>
        </w:rPr>
        <w:t xml:space="preserve">alors </w:t>
      </w:r>
      <w:r w:rsidR="00787172" w:rsidRPr="00B576A3">
        <w:rPr>
          <w:szCs w:val="24"/>
        </w:rPr>
        <w:t>une mission d’expertise et de recours auprès des autres structures titulaires d’une autorisation générale de so</w:t>
      </w:r>
      <w:r w:rsidR="00CC018B" w:rsidRPr="00B576A3">
        <w:rPr>
          <w:szCs w:val="24"/>
        </w:rPr>
        <w:t xml:space="preserve">ins de suite et de réadaptation, mais </w:t>
      </w:r>
      <w:r w:rsidRPr="00B576A3">
        <w:rPr>
          <w:szCs w:val="24"/>
        </w:rPr>
        <w:t xml:space="preserve">également </w:t>
      </w:r>
      <w:r w:rsidR="00CC018B" w:rsidRPr="00B576A3">
        <w:rPr>
          <w:szCs w:val="24"/>
        </w:rPr>
        <w:t xml:space="preserve">auprès </w:t>
      </w:r>
      <w:r w:rsidR="00CC018B">
        <w:rPr>
          <w:szCs w:val="24"/>
        </w:rPr>
        <w:t xml:space="preserve">des </w:t>
      </w:r>
      <w:r w:rsidR="00CD6913">
        <w:rPr>
          <w:szCs w:val="24"/>
        </w:rPr>
        <w:t>autres établissements de santé non-titulaires d’une autorisation de soins de suite et de réadaptation ainsi qu’auprès des établissements et services médico-sociaux.</w:t>
      </w:r>
    </w:p>
    <w:p w:rsidR="00FF4282" w:rsidRDefault="00FF4282" w:rsidP="00E67620">
      <w:pPr>
        <w:jc w:val="both"/>
        <w:rPr>
          <w:szCs w:val="24"/>
        </w:rPr>
      </w:pPr>
    </w:p>
    <w:p w:rsidR="00AE61F9" w:rsidRDefault="00AE61F9" w:rsidP="00E67620">
      <w:pPr>
        <w:jc w:val="both"/>
        <w:rPr>
          <w:b/>
          <w:szCs w:val="24"/>
        </w:rPr>
      </w:pPr>
      <w:r>
        <w:rPr>
          <w:b/>
          <w:szCs w:val="24"/>
        </w:rPr>
        <w:t>TITRE III – PRISE EN CHARGE DES PATIENTS</w:t>
      </w:r>
    </w:p>
    <w:p w:rsidR="00AE61F9" w:rsidRDefault="00AE61F9" w:rsidP="00E67620">
      <w:pPr>
        <w:jc w:val="both"/>
        <w:rPr>
          <w:b/>
          <w:szCs w:val="24"/>
        </w:rPr>
      </w:pPr>
      <w:r>
        <w:rPr>
          <w:b/>
          <w:noProof/>
          <w:sz w:val="28"/>
          <w:szCs w:val="28"/>
          <w:lang w:eastAsia="fr-FR"/>
        </w:rPr>
        <mc:AlternateContent>
          <mc:Choice Requires="wps">
            <w:drawing>
              <wp:anchor distT="0" distB="0" distL="114300" distR="114300" simplePos="0" relativeHeight="251665408" behindDoc="0" locked="0" layoutInCell="1" allowOverlap="1" wp14:anchorId="6D0850D8" wp14:editId="731255DE">
                <wp:simplePos x="0" y="0"/>
                <wp:positionH relativeFrom="margin">
                  <wp:posOffset>0</wp:posOffset>
                </wp:positionH>
                <wp:positionV relativeFrom="paragraph">
                  <wp:posOffset>-635</wp:posOffset>
                </wp:positionV>
                <wp:extent cx="4000500" cy="0"/>
                <wp:effectExtent l="0" t="0" r="19050" b="19050"/>
                <wp:wrapNone/>
                <wp:docPr id="5" name="Connecteur droit 5"/>
                <wp:cNvGraphicFramePr/>
                <a:graphic xmlns:a="http://schemas.openxmlformats.org/drawingml/2006/main">
                  <a:graphicData uri="http://schemas.microsoft.com/office/word/2010/wordprocessingShape">
                    <wps:wsp>
                      <wps:cNvCnPr/>
                      <wps:spPr>
                        <a:xfrm flipV="1">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8E26A" id="Connecteur droit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Q91QEAAAsEAAAOAAAAZHJzL2Uyb0RvYy54bWysU01vGyEQvVfqf0Dc611HdVWtvM7BUXqp&#10;WqsfuRN2sJGAQQPxx7/vwNrrqK0qNcoFMTDvzbzHsLw9eif2QMli6OV81koBQeNgw7aXP3/cv/so&#10;RcoqDMphgF6eIMnb1ds3y0Ps4AZ36AYgwSQhdYfYy13OsWuapHfgVZphhMCXBsmrzCFtm4HUgdm9&#10;a27a9kNzQBoioYaU+PRuvJSrym8M6PzVmARZuF5yb7muVNfHsjarpeq2pOLO6nMb6gVdeGUDF52o&#10;7lRW4onsH1TeasKEJs80+gaNsRqqBlYzb39T832nIlQtbE6Kk03p9Wj1l/2GhB16uZAiKM9PtMYQ&#10;2Dd4IjEQ2iwWxaVDTB0nr8OGzlGKGyqSj4a8MM7GBx6AagLLEsfq8WnyGI5ZaD5837btouWn0Je7&#10;ZqQoVJFS/gToRdn00tlQ5KtO7T+nzGU59ZJSjl0oa0Jnh3vrXA3K4MDakdgrfvJ8nJfmGfcsi6OC&#10;bIqkUUTd5ZODkfUbGLaEmx3l1GG8ciqtIeQLrwucXWCGO5iAbW37n8BzfoFCHdT/AU+IWhlDnsDe&#10;BqS/Vb9aYcb8iwOj7mLBIw6n+rzVGp646tz5d5SRfh5X+PUPr34BAAD//wMAUEsDBBQABgAIAAAA&#10;IQCq72522QAAAAQBAAAPAAAAZHJzL2Rvd25yZXYueG1sTI9BS8NAEIXvgv9hGcFbu4lCkZhNEcGD&#10;UGptPehtuzsm0exszE7a+O8dvdTjxxve+6ZcTqFTBxxSG8lAPs9AIbnoW6oNvOweZjegElvytouE&#10;Br4xwbI6Pytt4eORnvGw5VpJCaXCGmiY+0Lr5BoMNs1jjyTZexyCZcGh1n6wRykPnb7KsoUOtiVZ&#10;aGyP9w26z+0YDLzmj18b139sdk9u9TaseL1GHo25vJjubkExTnw6hl99UYdKnPZxJJ9UZ0AeYQOz&#10;HJSEi+tMeP/Huir1f/nqBwAA//8DAFBLAQItABQABgAIAAAAIQC2gziS/gAAAOEBAAATAAAAAAAA&#10;AAAAAAAAAAAAAABbQ29udGVudF9UeXBlc10ueG1sUEsBAi0AFAAGAAgAAAAhADj9If/WAAAAlAEA&#10;AAsAAAAAAAAAAAAAAAAALwEAAF9yZWxzLy5yZWxzUEsBAi0AFAAGAAgAAAAhAJUJ9D3VAQAACwQA&#10;AA4AAAAAAAAAAAAAAAAALgIAAGRycy9lMm9Eb2MueG1sUEsBAi0AFAAGAAgAAAAhAKrvbnbZAAAA&#10;BAEAAA8AAAAAAAAAAAAAAAAALwQAAGRycy9kb3ducmV2LnhtbFBLBQYAAAAABAAEAPMAAAA1BQAA&#10;AAA=&#10;" strokecolor="black [3213]" strokeweight=".5pt">
                <v:stroke joinstyle="miter"/>
                <w10:wrap anchorx="margin"/>
              </v:line>
            </w:pict>
          </mc:Fallback>
        </mc:AlternateContent>
      </w:r>
    </w:p>
    <w:p w:rsidR="00AE61F9" w:rsidRDefault="00AE61F9" w:rsidP="00E67620">
      <w:pPr>
        <w:jc w:val="both"/>
        <w:rPr>
          <w:b/>
          <w:szCs w:val="24"/>
        </w:rPr>
      </w:pPr>
      <w:r>
        <w:rPr>
          <w:b/>
          <w:szCs w:val="24"/>
        </w:rPr>
        <w:t>Article 8 – Information du patient</w:t>
      </w:r>
    </w:p>
    <w:p w:rsidR="00262949" w:rsidRPr="00D0471C" w:rsidRDefault="00262949" w:rsidP="00262949">
      <w:pPr>
        <w:jc w:val="both"/>
        <w:rPr>
          <w:szCs w:val="24"/>
        </w:rPr>
      </w:pPr>
      <w:r w:rsidRPr="00D0471C">
        <w:rPr>
          <w:szCs w:val="24"/>
        </w:rPr>
        <w:t>Les médecins exerçant au sein du GHT</w:t>
      </w:r>
      <w:r w:rsidR="00D0471C" w:rsidRPr="00D0471C">
        <w:rPr>
          <w:szCs w:val="24"/>
        </w:rPr>
        <w:t xml:space="preserve"> </w:t>
      </w:r>
      <w:proofErr w:type="gramStart"/>
      <w:r w:rsidR="00D0471C" w:rsidRPr="00D0471C">
        <w:rPr>
          <w:szCs w:val="24"/>
        </w:rPr>
        <w:t xml:space="preserve">… </w:t>
      </w:r>
      <w:r w:rsidRPr="00D0471C">
        <w:rPr>
          <w:szCs w:val="24"/>
        </w:rPr>
        <w:t>,</w:t>
      </w:r>
      <w:proofErr w:type="gramEnd"/>
      <w:r w:rsidRPr="00D0471C">
        <w:rPr>
          <w:szCs w:val="24"/>
        </w:rPr>
        <w:t xml:space="preserve"> informent le patient, et la personne de confiance s’il en a désigné une, </w:t>
      </w:r>
      <w:r w:rsidR="0028727C" w:rsidRPr="00D0471C">
        <w:rPr>
          <w:szCs w:val="24"/>
        </w:rPr>
        <w:t xml:space="preserve">des différents modes de prises en charge proposées dans le territoire de santé par </w:t>
      </w:r>
      <w:r w:rsidR="00AD5A20" w:rsidRPr="00B576A3">
        <w:rPr>
          <w:szCs w:val="24"/>
        </w:rPr>
        <w:t>l’établissement partenaire</w:t>
      </w:r>
      <w:r w:rsidR="0028727C" w:rsidRPr="00B576A3">
        <w:rPr>
          <w:szCs w:val="24"/>
        </w:rPr>
        <w:t xml:space="preserve"> et adapté</w:t>
      </w:r>
      <w:bookmarkStart w:id="0" w:name="_GoBack"/>
      <w:bookmarkEnd w:id="0"/>
      <w:r w:rsidR="0028727C" w:rsidRPr="00B576A3">
        <w:rPr>
          <w:szCs w:val="24"/>
        </w:rPr>
        <w:t>s à l’état de santé du patient et présentent – si son état de santé le permet – l</w:t>
      </w:r>
      <w:r w:rsidRPr="00B576A3">
        <w:rPr>
          <w:szCs w:val="24"/>
        </w:rPr>
        <w:t>es différent</w:t>
      </w:r>
      <w:r w:rsidR="0028727C" w:rsidRPr="00B576A3">
        <w:rPr>
          <w:szCs w:val="24"/>
        </w:rPr>
        <w:t>e</w:t>
      </w:r>
      <w:r w:rsidRPr="00B576A3">
        <w:rPr>
          <w:szCs w:val="24"/>
        </w:rPr>
        <w:t xml:space="preserve">s </w:t>
      </w:r>
      <w:r w:rsidRPr="00D0471C">
        <w:rPr>
          <w:szCs w:val="24"/>
        </w:rPr>
        <w:t xml:space="preserve">prises en charge </w:t>
      </w:r>
      <w:r w:rsidR="0028727C" w:rsidRPr="00D0471C">
        <w:rPr>
          <w:szCs w:val="24"/>
        </w:rPr>
        <w:t>alternative</w:t>
      </w:r>
      <w:r w:rsidRPr="00D0471C">
        <w:rPr>
          <w:szCs w:val="24"/>
        </w:rPr>
        <w:t xml:space="preserve">s à </w:t>
      </w:r>
      <w:r w:rsidR="002F0845" w:rsidRPr="00D0471C">
        <w:rPr>
          <w:szCs w:val="24"/>
        </w:rPr>
        <w:t xml:space="preserve">une </w:t>
      </w:r>
      <w:r w:rsidRPr="00D0471C">
        <w:rPr>
          <w:szCs w:val="24"/>
        </w:rPr>
        <w:t>hospitalisation complète</w:t>
      </w:r>
      <w:r w:rsidR="00D0471C" w:rsidRPr="00D0471C">
        <w:rPr>
          <w:szCs w:val="24"/>
        </w:rPr>
        <w:t>.</w:t>
      </w:r>
    </w:p>
    <w:p w:rsidR="00262949" w:rsidRPr="00262949" w:rsidRDefault="00262949" w:rsidP="00E67620">
      <w:pPr>
        <w:jc w:val="both"/>
        <w:rPr>
          <w:i/>
          <w:color w:val="0070C0"/>
          <w:szCs w:val="24"/>
        </w:rPr>
      </w:pPr>
    </w:p>
    <w:p w:rsidR="00AE61F9" w:rsidRDefault="00AE61F9" w:rsidP="00E67620">
      <w:pPr>
        <w:jc w:val="both"/>
        <w:rPr>
          <w:b/>
          <w:szCs w:val="24"/>
        </w:rPr>
      </w:pPr>
      <w:r>
        <w:rPr>
          <w:b/>
          <w:szCs w:val="24"/>
        </w:rPr>
        <w:t>Article 9 – Dossiers médicaux</w:t>
      </w:r>
    </w:p>
    <w:p w:rsidR="00AE61F9" w:rsidRDefault="00AE61F9" w:rsidP="00E67620">
      <w:pPr>
        <w:jc w:val="both"/>
        <w:rPr>
          <w:b/>
          <w:szCs w:val="24"/>
        </w:rPr>
      </w:pPr>
      <w:r>
        <w:rPr>
          <w:b/>
          <w:szCs w:val="24"/>
        </w:rPr>
        <w:tab/>
        <w:t xml:space="preserve">9.1 Composition </w:t>
      </w:r>
    </w:p>
    <w:p w:rsidR="00E06D58" w:rsidRPr="005925A7" w:rsidRDefault="00E35795" w:rsidP="00E67620">
      <w:pPr>
        <w:jc w:val="both"/>
        <w:rPr>
          <w:szCs w:val="24"/>
        </w:rPr>
      </w:pPr>
      <w:r w:rsidRPr="005925A7">
        <w:rPr>
          <w:szCs w:val="24"/>
        </w:rPr>
        <w:t xml:space="preserve">L’établissement de santé privé … et le GHT … s’engagent </w:t>
      </w:r>
      <w:r w:rsidR="00E06D58" w:rsidRPr="005925A7">
        <w:rPr>
          <w:szCs w:val="24"/>
        </w:rPr>
        <w:t>à insérer des fiches de liaison dans les dossiers médicaux et de soins infirmiers afin de garantir au patient, en cas de transfert, une prise en charge de qualité optimale.</w:t>
      </w:r>
    </w:p>
    <w:p w:rsidR="00E35795" w:rsidRDefault="005925A7" w:rsidP="00E67620">
      <w:pPr>
        <w:jc w:val="both"/>
        <w:rPr>
          <w:szCs w:val="24"/>
        </w:rPr>
      </w:pPr>
      <w:r>
        <w:rPr>
          <w:szCs w:val="24"/>
        </w:rPr>
        <w:t xml:space="preserve">Ils </w:t>
      </w:r>
      <w:r w:rsidR="0028727C" w:rsidRPr="0028727C">
        <w:rPr>
          <w:szCs w:val="24"/>
        </w:rPr>
        <w:t xml:space="preserve"> </w:t>
      </w:r>
      <w:r w:rsidR="00E35795">
        <w:rPr>
          <w:szCs w:val="24"/>
        </w:rPr>
        <w:t xml:space="preserve">s’engagent à favoriser la communication des informations concernant les patients entre leurs différentes structures au travers du dossier médical, et par l’envoi de comptes rendus et </w:t>
      </w:r>
      <w:r w:rsidR="0028727C" w:rsidRPr="00E06D58">
        <w:rPr>
          <w:szCs w:val="24"/>
        </w:rPr>
        <w:t xml:space="preserve">d’examens relatifs à </w:t>
      </w:r>
      <w:r w:rsidR="00E35795">
        <w:rPr>
          <w:szCs w:val="24"/>
        </w:rPr>
        <w:t xml:space="preserve">l’état de santé du patient. </w:t>
      </w:r>
    </w:p>
    <w:p w:rsidR="00674AFC" w:rsidRDefault="00E35795" w:rsidP="00E67620">
      <w:pPr>
        <w:jc w:val="both"/>
        <w:rPr>
          <w:szCs w:val="24"/>
        </w:rPr>
      </w:pPr>
      <w:r>
        <w:rPr>
          <w:szCs w:val="24"/>
        </w:rPr>
        <w:t>Cette opération s’inscrit dans une politique d’amélioration continue de la qualité des soins dispensés.</w:t>
      </w:r>
    </w:p>
    <w:p w:rsidR="009A46AF" w:rsidRDefault="009A46AF" w:rsidP="00E67620">
      <w:pPr>
        <w:jc w:val="both"/>
        <w:rPr>
          <w:szCs w:val="24"/>
        </w:rPr>
      </w:pPr>
    </w:p>
    <w:p w:rsidR="00AE61F9" w:rsidRDefault="00AE61F9" w:rsidP="00E67620">
      <w:pPr>
        <w:jc w:val="both"/>
        <w:rPr>
          <w:b/>
          <w:szCs w:val="24"/>
        </w:rPr>
      </w:pPr>
      <w:r>
        <w:rPr>
          <w:b/>
          <w:szCs w:val="24"/>
        </w:rPr>
        <w:tab/>
        <w:t>9.2 Conservation</w:t>
      </w:r>
    </w:p>
    <w:p w:rsidR="001B7453" w:rsidRDefault="00E35795" w:rsidP="00E67620">
      <w:pPr>
        <w:jc w:val="both"/>
        <w:rPr>
          <w:szCs w:val="24"/>
        </w:rPr>
      </w:pPr>
      <w:r>
        <w:rPr>
          <w:szCs w:val="24"/>
        </w:rPr>
        <w:t>La conservation, l’accès au dossier médical et la communication du dossier au médecin traitant ou au patient lui-même sont organisés dans le respect de la confidentialité et de la vie privée du patient, ainsi que dans celui des dispositions législatives et règlementaires en vigueur.</w:t>
      </w:r>
    </w:p>
    <w:p w:rsidR="00B35331" w:rsidRDefault="00B35331" w:rsidP="00E67620">
      <w:pPr>
        <w:jc w:val="both"/>
        <w:rPr>
          <w:szCs w:val="24"/>
        </w:rPr>
      </w:pPr>
    </w:p>
    <w:p w:rsidR="004E0A28" w:rsidRDefault="004E0A28" w:rsidP="00E67620">
      <w:pPr>
        <w:jc w:val="both"/>
        <w:rPr>
          <w:szCs w:val="24"/>
        </w:rPr>
      </w:pPr>
    </w:p>
    <w:p w:rsidR="001B7453" w:rsidRDefault="001B7453" w:rsidP="00E67620">
      <w:pPr>
        <w:jc w:val="both"/>
        <w:rPr>
          <w:b/>
          <w:szCs w:val="24"/>
        </w:rPr>
      </w:pPr>
      <w:r>
        <w:rPr>
          <w:b/>
          <w:noProof/>
          <w:sz w:val="28"/>
          <w:szCs w:val="28"/>
          <w:lang w:eastAsia="fr-FR"/>
        </w:rPr>
        <mc:AlternateContent>
          <mc:Choice Requires="wps">
            <w:drawing>
              <wp:anchor distT="0" distB="0" distL="114300" distR="114300" simplePos="0" relativeHeight="251667456" behindDoc="0" locked="0" layoutInCell="1" allowOverlap="1" wp14:anchorId="7995BC2C" wp14:editId="0060CAB7">
                <wp:simplePos x="0" y="0"/>
                <wp:positionH relativeFrom="margin">
                  <wp:align>left</wp:align>
                </wp:positionH>
                <wp:positionV relativeFrom="paragraph">
                  <wp:posOffset>203835</wp:posOffset>
                </wp:positionV>
                <wp:extent cx="4000500" cy="0"/>
                <wp:effectExtent l="0" t="0" r="19050" b="19050"/>
                <wp:wrapNone/>
                <wp:docPr id="6" name="Connecteur droit 6"/>
                <wp:cNvGraphicFramePr/>
                <a:graphic xmlns:a="http://schemas.openxmlformats.org/drawingml/2006/main">
                  <a:graphicData uri="http://schemas.microsoft.com/office/word/2010/wordprocessingShape">
                    <wps:wsp>
                      <wps:cNvCnPr/>
                      <wps:spPr>
                        <a:xfrm flipV="1">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C91C0" id="Connecteur droit 6"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05pt" to="3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ib1QEAAAsEAAAOAAAAZHJzL2Uyb0RvYy54bWysU01vGyEQvVfqf0Dc611HrVWtvM7BUXqp&#10;WqsfuRN2sJGAQQPxx7/vwNrrqK0qNcoFMTDvzbzHsLw9eif2QMli6OV81koBQeNgw7aXP3/cv/so&#10;RcoqDMphgF6eIMnb1ds3y0Ps4AZ36AYgwSQhdYfYy13OsWuapHfgVZphhMCXBsmrzCFtm4HUgdm9&#10;a27adtEckIZIqCElPr0bL+Wq8hsDOn81JkEWrpfcW64r1fWxrM1qqbotqbiz+tyGekEXXtnARSeq&#10;O5WVeCL7B5W3mjChyTONvkFjrIaqgdXM29/UfN+pCFULm5PiZFN6PVr9Zb8hYYdeLqQIyvMTrTEE&#10;9g2eSAyENotFcekQU8fJ67Chc5TihorkoyEvjLPxgQegmsCyxLF6fJo8hmMWmg/ft237oeWn0Je7&#10;ZqQoVJFS/gToRdn00tlQ5KtO7T+nzGU59ZJSjl0oa0Jnh3vrXA3K4MDakdgrfvJ8nJfmGfcsi6OC&#10;bIqkUUTd5ZODkfUbGLaEmx3l1GG8ciqtIeQLrwucXWCGO5iAbW37n8BzfoFCHdT/AU+IWhlDnsDe&#10;BqS/Vb9aYcb8iwOj7mLBIw6n+rzVGp646tz5d5SRfh5X+PUPr34BAAD//wMAUEsDBBQABgAIAAAA&#10;IQD/DaMU2wAAAAYBAAAPAAAAZHJzL2Rvd25yZXYueG1sTI9BS8NAEIXvgv9hGcGb3aSFIjGbIoIH&#10;odTaetDbdndMotnZmJ208d874kGP773hvW/K1RQ6dcQhtZEM5LMMFJKLvqXawPP+/uoaVGJL3naR&#10;0MAXJlhV52elLXw80RMed1wrKaFUWAMNc19onVyDwaZZ7JEke4tDsCxyqLUf7EnKQ6fnWbbUwbYk&#10;C43t8a5B97Ebg4GX/OFz6/r37f7RrV+HNW82yKMxlxfT7Q0oxon/juEHX9ChEqZDHMkn1RmQR9jA&#10;Yp6DknS5yMQ4/Bq6KvV//OobAAD//wMAUEsBAi0AFAAGAAgAAAAhALaDOJL+AAAA4QEAABMAAAAA&#10;AAAAAAAAAAAAAAAAAFtDb250ZW50X1R5cGVzXS54bWxQSwECLQAUAAYACAAAACEAOP0h/9YAAACU&#10;AQAACwAAAAAAAAAAAAAAAAAvAQAAX3JlbHMvLnJlbHNQSwECLQAUAAYACAAAACEAQ9FYm9UBAAAL&#10;BAAADgAAAAAAAAAAAAAAAAAuAgAAZHJzL2Uyb0RvYy54bWxQSwECLQAUAAYACAAAACEA/w2jFNsA&#10;AAAGAQAADwAAAAAAAAAAAAAAAAAvBAAAZHJzL2Rvd25yZXYueG1sUEsFBgAAAAAEAAQA8wAAADcF&#10;AAAAAA==&#10;" strokecolor="black [3213]" strokeweight=".5pt">
                <v:stroke joinstyle="miter"/>
                <w10:wrap anchorx="margin"/>
              </v:line>
            </w:pict>
          </mc:Fallback>
        </mc:AlternateContent>
      </w:r>
      <w:r>
        <w:rPr>
          <w:b/>
          <w:szCs w:val="24"/>
        </w:rPr>
        <w:t>TITRE IV – PERSONNELS</w:t>
      </w:r>
    </w:p>
    <w:p w:rsidR="00250683" w:rsidRDefault="00250683" w:rsidP="00E67620">
      <w:pPr>
        <w:jc w:val="both"/>
        <w:rPr>
          <w:b/>
          <w:szCs w:val="24"/>
        </w:rPr>
      </w:pPr>
    </w:p>
    <w:p w:rsidR="001B7453" w:rsidRDefault="001B7453" w:rsidP="00E67620">
      <w:pPr>
        <w:jc w:val="both"/>
        <w:rPr>
          <w:b/>
          <w:szCs w:val="24"/>
        </w:rPr>
      </w:pPr>
      <w:r>
        <w:rPr>
          <w:b/>
          <w:szCs w:val="24"/>
        </w:rPr>
        <w:t>Article 10 – Equipes médicales</w:t>
      </w:r>
    </w:p>
    <w:p w:rsidR="001B7453" w:rsidRDefault="001B7453" w:rsidP="00E67620">
      <w:pPr>
        <w:jc w:val="both"/>
        <w:rPr>
          <w:szCs w:val="24"/>
        </w:rPr>
      </w:pPr>
      <w:r>
        <w:rPr>
          <w:szCs w:val="24"/>
        </w:rPr>
        <w:tab/>
      </w:r>
      <w:r>
        <w:rPr>
          <w:b/>
          <w:szCs w:val="24"/>
        </w:rPr>
        <w:t>10.1 Fonctionnement</w:t>
      </w:r>
    </w:p>
    <w:p w:rsidR="001B7453" w:rsidRDefault="001B7453" w:rsidP="00E67620">
      <w:pPr>
        <w:jc w:val="both"/>
        <w:rPr>
          <w:szCs w:val="24"/>
        </w:rPr>
      </w:pPr>
      <w:r>
        <w:rPr>
          <w:szCs w:val="24"/>
        </w:rPr>
        <w:t>Conformément aux recommandations du schéma régional d’organisation des soins dans son volet « soins de suite et de réadaptation », les équipes médicales des établissements partenaires fonctionnent en complémentarité, afin d’offrir aux patients traités les différentes modalités de prises en charge</w:t>
      </w:r>
      <w:r w:rsidR="003C3881">
        <w:rPr>
          <w:szCs w:val="24"/>
        </w:rPr>
        <w:t xml:space="preserve"> graduées</w:t>
      </w:r>
      <w:r w:rsidR="00425A61">
        <w:rPr>
          <w:szCs w:val="24"/>
        </w:rPr>
        <w:t xml:space="preserve"> et</w:t>
      </w:r>
      <w:r>
        <w:rPr>
          <w:szCs w:val="24"/>
        </w:rPr>
        <w:t xml:space="preserve"> adaptées à leur état de santé.</w:t>
      </w:r>
    </w:p>
    <w:p w:rsidR="00E06D58" w:rsidRDefault="00E06D58" w:rsidP="00E67620">
      <w:pPr>
        <w:jc w:val="both"/>
        <w:rPr>
          <w:szCs w:val="24"/>
        </w:rPr>
      </w:pPr>
    </w:p>
    <w:p w:rsidR="001B7453" w:rsidRDefault="001B7453" w:rsidP="00E67620">
      <w:pPr>
        <w:jc w:val="both"/>
        <w:rPr>
          <w:b/>
          <w:szCs w:val="24"/>
        </w:rPr>
      </w:pPr>
      <w:r>
        <w:rPr>
          <w:szCs w:val="24"/>
        </w:rPr>
        <w:tab/>
      </w:r>
      <w:r>
        <w:rPr>
          <w:b/>
          <w:szCs w:val="24"/>
        </w:rPr>
        <w:t xml:space="preserve">10.2 Collaboration </w:t>
      </w:r>
    </w:p>
    <w:p w:rsidR="001B7453" w:rsidRDefault="001B7453" w:rsidP="00E67620">
      <w:pPr>
        <w:jc w:val="both"/>
        <w:rPr>
          <w:szCs w:val="24"/>
        </w:rPr>
      </w:pPr>
      <w:r>
        <w:rPr>
          <w:szCs w:val="24"/>
        </w:rPr>
        <w:t>Dans le cas où des collaborations médicales seraient rendues nécessaires pour assurer la continuité du fonctionnement médical, celles-ci feront l’objet de conventions complémentaires conclues entre l’établissement de santé privé … et l’établissement-support … du GHT.</w:t>
      </w:r>
    </w:p>
    <w:p w:rsidR="00E06D58" w:rsidRPr="00E06D58" w:rsidRDefault="00E06D58" w:rsidP="00E67620">
      <w:pPr>
        <w:jc w:val="both"/>
        <w:rPr>
          <w:b/>
          <w:color w:val="FF0000"/>
          <w:szCs w:val="24"/>
        </w:rPr>
      </w:pPr>
    </w:p>
    <w:p w:rsidR="001B7453" w:rsidRDefault="001B7453" w:rsidP="00CC6532">
      <w:pPr>
        <w:ind w:firstLine="708"/>
        <w:jc w:val="both"/>
        <w:rPr>
          <w:b/>
          <w:szCs w:val="24"/>
        </w:rPr>
      </w:pPr>
      <w:r>
        <w:rPr>
          <w:b/>
          <w:szCs w:val="24"/>
        </w:rPr>
        <w:t>10.3</w:t>
      </w:r>
      <w:r>
        <w:rPr>
          <w:szCs w:val="24"/>
        </w:rPr>
        <w:t xml:space="preserve"> </w:t>
      </w:r>
      <w:r>
        <w:rPr>
          <w:b/>
          <w:szCs w:val="24"/>
        </w:rPr>
        <w:t>Prestations croisées</w:t>
      </w:r>
    </w:p>
    <w:p w:rsidR="001B7453" w:rsidRDefault="00F66975" w:rsidP="00E67620">
      <w:pPr>
        <w:jc w:val="both"/>
        <w:rPr>
          <w:szCs w:val="24"/>
        </w:rPr>
      </w:pPr>
      <w:r>
        <w:rPr>
          <w:szCs w:val="24"/>
        </w:rPr>
        <w:t>Si les établissements partenaires souhaitent mettre en place des prestations médicales croisées</w:t>
      </w:r>
      <w:r w:rsidR="009A46AF">
        <w:rPr>
          <w:szCs w:val="24"/>
        </w:rPr>
        <w:t xml:space="preserve"> (par exemple, personnel exerçant dans les deux structures ou consultations avancées d’un établissement vers l’autre)</w:t>
      </w:r>
      <w:r>
        <w:rPr>
          <w:szCs w:val="24"/>
        </w:rPr>
        <w:t>, les modalités en sont définies dans des conventions particulières de coopération ou dans la convention constitutive d’un groupement de coopération sanitaire de moyens.</w:t>
      </w:r>
    </w:p>
    <w:p w:rsidR="001B7453" w:rsidRDefault="001B7453" w:rsidP="00E67620">
      <w:pPr>
        <w:jc w:val="both"/>
        <w:rPr>
          <w:szCs w:val="24"/>
        </w:rPr>
      </w:pPr>
    </w:p>
    <w:p w:rsidR="00B35331" w:rsidRDefault="00B35331" w:rsidP="00E67620">
      <w:pPr>
        <w:jc w:val="both"/>
        <w:rPr>
          <w:b/>
          <w:szCs w:val="24"/>
        </w:rPr>
      </w:pPr>
      <w:r>
        <w:rPr>
          <w:b/>
          <w:noProof/>
          <w:sz w:val="28"/>
          <w:szCs w:val="28"/>
          <w:lang w:eastAsia="fr-FR"/>
        </w:rPr>
        <mc:AlternateContent>
          <mc:Choice Requires="wps">
            <w:drawing>
              <wp:anchor distT="0" distB="0" distL="114300" distR="114300" simplePos="0" relativeHeight="251669504" behindDoc="0" locked="0" layoutInCell="1" allowOverlap="1" wp14:anchorId="54D1A955" wp14:editId="0A5A163F">
                <wp:simplePos x="0" y="0"/>
                <wp:positionH relativeFrom="margin">
                  <wp:align>left</wp:align>
                </wp:positionH>
                <wp:positionV relativeFrom="paragraph">
                  <wp:posOffset>243205</wp:posOffset>
                </wp:positionV>
                <wp:extent cx="4000500" cy="0"/>
                <wp:effectExtent l="0" t="0" r="19050" b="19050"/>
                <wp:wrapNone/>
                <wp:docPr id="7" name="Connecteur droit 7"/>
                <wp:cNvGraphicFramePr/>
                <a:graphic xmlns:a="http://schemas.openxmlformats.org/drawingml/2006/main">
                  <a:graphicData uri="http://schemas.microsoft.com/office/word/2010/wordprocessingShape">
                    <wps:wsp>
                      <wps:cNvCnPr/>
                      <wps:spPr>
                        <a:xfrm flipV="1">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E3A15" id="Connecteur droit 7"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15pt" to="3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xP1QEAAAsEAAAOAAAAZHJzL2Uyb0RvYy54bWysU02PGyEMvVfqf0Dcm5ms2m41ymQPWW0v&#10;VRv1684yJkECjAybSf59DZNMVm1VqVUvCIPfs9/DrO6O3okDULIYerlctFJA0DjYsOvlt68Pr95J&#10;kbIKg3IYoJcnSPJu/fLFaowd3OAe3QAkmCSkboy93Occu6ZJeg9epQVGCHxpkLzKHNKuGUiNzO5d&#10;c9O2b5sRaYiEGlLi0/vpUq4rvzGg8ydjEmThesm95bpSXR/L2qxXqtuRinurz22of+jCKxu46Ex1&#10;r7IST2R/ofJWEyY0eaHRN2iM1VA1sJpl+5OaL3sVoWphc1KcbUr/j1Z/PGxJ2KGXt1IE5fmJNhgC&#10;+wZPJAZCm8VtcWmMqePkTdjSOUpxS0Xy0ZAXxtn4nQegmsCyxLF6fJo9hmMWmg9ft237puWn0Je7&#10;ZqIoVJFSfg/oRdn00tlQ5KtOHT6kzGU59ZJSjl0oa0JnhwfrXA3K4MDGkTgofvJ8XJbmGfcsi6OC&#10;bIqkSUTd5ZODifUzGLaEm53k1GG8ciqtIeQLrwucXWCGO5iBbW37j8BzfoFCHdS/Ac+IWhlDnsHe&#10;BqTfVb9aYab8iwOT7mLBIw6n+rzVGp646tz5d5SRfh5X+PUPr38AAAD//wMAUEsDBBQABgAIAAAA&#10;IQBagaXA2wAAAAYBAAAPAAAAZHJzL2Rvd25yZXYueG1sTI9BS8NAEIXvgv9hGcGb3dRAKTGbIoIH&#10;odTaetDbdndMotnZmJ208d874kGP773hvW/K1RQ6dcQhtZEMzGcZKCQXfUu1gef9/dUSVGJL3naR&#10;0MAXJlhV52elLXw80RMed1wrKaFUWAMNc19onVyDwaZZ7JEke4tDsCxyqLUf7EnKQ6evs2yhg21J&#10;Fhrb412D7mM3BgMv84fPrevft/tHt34d1rzZII/GXF5MtzegGCf+O4YffEGHSpgOcSSfVGdAHmED&#10;+TIHJekiz8Q4/Bq6KvV//OobAAD//wMAUEsBAi0AFAAGAAgAAAAhALaDOJL+AAAA4QEAABMAAAAA&#10;AAAAAAAAAAAAAAAAAFtDb250ZW50X1R5cGVzXS54bWxQSwECLQAUAAYACAAAACEAOP0h/9YAAACU&#10;AQAACwAAAAAAAAAAAAAAAAAvAQAAX3JlbHMvLnJlbHNQSwECLQAUAAYACAAAACEAzmTsT9UBAAAL&#10;BAAADgAAAAAAAAAAAAAAAAAuAgAAZHJzL2Uyb0RvYy54bWxQSwECLQAUAAYACAAAACEAWoGlwNsA&#10;AAAGAQAADwAAAAAAAAAAAAAAAAAvBAAAZHJzL2Rvd25yZXYueG1sUEsFBgAAAAAEAAQA8wAAADcF&#10;AAAAAA==&#10;" strokecolor="black [3213]" strokeweight=".5pt">
                <v:stroke joinstyle="miter"/>
                <w10:wrap anchorx="margin"/>
              </v:line>
            </w:pict>
          </mc:Fallback>
        </mc:AlternateContent>
      </w:r>
      <w:r>
        <w:rPr>
          <w:b/>
          <w:szCs w:val="24"/>
        </w:rPr>
        <w:t xml:space="preserve">TITRE V – </w:t>
      </w:r>
      <w:r w:rsidR="0028727C" w:rsidRPr="00E06D58">
        <w:rPr>
          <w:b/>
          <w:szCs w:val="24"/>
        </w:rPr>
        <w:t xml:space="preserve">DUREE ET </w:t>
      </w:r>
      <w:r w:rsidR="0028727C" w:rsidRPr="0028727C">
        <w:rPr>
          <w:b/>
          <w:szCs w:val="24"/>
        </w:rPr>
        <w:t>E</w:t>
      </w:r>
      <w:r>
        <w:rPr>
          <w:b/>
          <w:szCs w:val="24"/>
        </w:rPr>
        <w:t>VALUATION DU DISPOSITIF</w:t>
      </w:r>
    </w:p>
    <w:p w:rsidR="009F7CB9" w:rsidRDefault="009F7CB9" w:rsidP="00E67620">
      <w:pPr>
        <w:jc w:val="both"/>
        <w:rPr>
          <w:b/>
          <w:szCs w:val="24"/>
        </w:rPr>
      </w:pPr>
    </w:p>
    <w:p w:rsidR="0028727C" w:rsidRPr="00E06D58" w:rsidRDefault="00B35331" w:rsidP="00E67620">
      <w:pPr>
        <w:jc w:val="both"/>
        <w:rPr>
          <w:b/>
          <w:szCs w:val="24"/>
        </w:rPr>
      </w:pPr>
      <w:r w:rsidRPr="00E06D58">
        <w:rPr>
          <w:b/>
          <w:szCs w:val="24"/>
        </w:rPr>
        <w:t>Article 11 –</w:t>
      </w:r>
      <w:r w:rsidR="0028727C" w:rsidRPr="00E06D58">
        <w:rPr>
          <w:b/>
          <w:szCs w:val="24"/>
        </w:rPr>
        <w:t xml:space="preserve"> Durée de la convention </w:t>
      </w:r>
      <w:r w:rsidRPr="00E06D58">
        <w:rPr>
          <w:b/>
          <w:szCs w:val="24"/>
        </w:rPr>
        <w:t xml:space="preserve"> </w:t>
      </w:r>
    </w:p>
    <w:p w:rsidR="0028727C" w:rsidRDefault="0028727C" w:rsidP="00E67620">
      <w:pPr>
        <w:jc w:val="both"/>
        <w:rPr>
          <w:color w:val="0070C0"/>
          <w:szCs w:val="24"/>
        </w:rPr>
      </w:pPr>
      <w:r w:rsidRPr="00E06D58">
        <w:rPr>
          <w:szCs w:val="24"/>
        </w:rPr>
        <w:t>La présente convention est</w:t>
      </w:r>
      <w:r w:rsidR="00C274EB" w:rsidRPr="00E06D58">
        <w:rPr>
          <w:szCs w:val="24"/>
        </w:rPr>
        <w:t xml:space="preserve"> </w:t>
      </w:r>
      <w:r w:rsidR="00966092" w:rsidRPr="00E06D58">
        <w:rPr>
          <w:szCs w:val="24"/>
        </w:rPr>
        <w:t>conclue</w:t>
      </w:r>
      <w:r w:rsidR="00C02557" w:rsidRPr="00E06D58">
        <w:rPr>
          <w:szCs w:val="24"/>
        </w:rPr>
        <w:t>, à compter de sa signature,</w:t>
      </w:r>
      <w:r w:rsidR="00966092" w:rsidRPr="00E06D58">
        <w:rPr>
          <w:szCs w:val="24"/>
        </w:rPr>
        <w:t xml:space="preserve"> pour </w:t>
      </w:r>
      <w:r w:rsidR="00E06D58" w:rsidRPr="00E06D58">
        <w:rPr>
          <w:szCs w:val="24"/>
        </w:rPr>
        <w:t xml:space="preserve">la durée du projet médical partagé du GHT - à savoir, cinq (5) ans - </w:t>
      </w:r>
      <w:r w:rsidR="00966092" w:rsidRPr="00E06D58">
        <w:rPr>
          <w:szCs w:val="24"/>
        </w:rPr>
        <w:t xml:space="preserve"> ou à défaut pour la durée restant à courir du projet médical partagé du GHT</w:t>
      </w:r>
      <w:r w:rsidR="00966092" w:rsidRPr="00966092">
        <w:rPr>
          <w:color w:val="0070C0"/>
          <w:szCs w:val="24"/>
        </w:rPr>
        <w:t>.</w:t>
      </w:r>
      <w:r w:rsidRPr="00966092">
        <w:rPr>
          <w:color w:val="0070C0"/>
          <w:szCs w:val="24"/>
        </w:rPr>
        <w:t xml:space="preserve"> </w:t>
      </w:r>
    </w:p>
    <w:p w:rsidR="008066B0" w:rsidRDefault="006C4A7E" w:rsidP="00E67620">
      <w:pPr>
        <w:jc w:val="both"/>
        <w:rPr>
          <w:szCs w:val="24"/>
        </w:rPr>
      </w:pPr>
      <w:r w:rsidRPr="00A24E96">
        <w:rPr>
          <w:szCs w:val="24"/>
        </w:rPr>
        <w:t xml:space="preserve">Elle est renouvelable par tacite reconduction pour une durée de 5 ans. </w:t>
      </w:r>
    </w:p>
    <w:p w:rsidR="004E0A28" w:rsidRDefault="004E0A28" w:rsidP="00E67620">
      <w:pPr>
        <w:jc w:val="both"/>
        <w:rPr>
          <w:szCs w:val="24"/>
        </w:rPr>
      </w:pPr>
    </w:p>
    <w:p w:rsidR="009A46AF" w:rsidRPr="008066B0" w:rsidRDefault="00212B0D" w:rsidP="00E67620">
      <w:pPr>
        <w:jc w:val="both"/>
        <w:rPr>
          <w:b/>
          <w:szCs w:val="24"/>
        </w:rPr>
      </w:pPr>
      <w:r>
        <w:rPr>
          <w:b/>
          <w:szCs w:val="24"/>
        </w:rPr>
        <w:t>Article 12 - Résiliation</w:t>
      </w:r>
    </w:p>
    <w:p w:rsidR="00B977D3" w:rsidRPr="009F0163" w:rsidRDefault="00B977D3" w:rsidP="00E67620">
      <w:pPr>
        <w:jc w:val="both"/>
        <w:rPr>
          <w:szCs w:val="24"/>
        </w:rPr>
      </w:pPr>
      <w:r w:rsidRPr="009F0163">
        <w:rPr>
          <w:szCs w:val="24"/>
        </w:rPr>
        <w:t>En cas de profond désaccord entre les établissements partenaires dont l’irrésolution ne permettrait pas de continuer d’assurer le bien-être des patients ou le bon fonctionnement du partenariat</w:t>
      </w:r>
      <w:r w:rsidR="004E0A28" w:rsidRPr="009F0163">
        <w:rPr>
          <w:szCs w:val="24"/>
        </w:rPr>
        <w:t>, et en cas d’échec d’une médiation préalable assurée par l’Agence régionale de santé</w:t>
      </w:r>
      <w:r w:rsidRPr="009F0163">
        <w:rPr>
          <w:szCs w:val="24"/>
        </w:rPr>
        <w:t xml:space="preserve">, la présente convention peut être dénoncée par l’une des parties par lettre recommandée </w:t>
      </w:r>
      <w:r w:rsidRPr="009F0163">
        <w:rPr>
          <w:szCs w:val="24"/>
        </w:rPr>
        <w:lastRenderedPageBreak/>
        <w:t>avec accusé de réception, moyennant un préavis de deux mois afin de permettre la réorganisation de la prise en charge des patients.</w:t>
      </w:r>
    </w:p>
    <w:p w:rsidR="009A46AF" w:rsidRPr="009F0163" w:rsidRDefault="009A46AF" w:rsidP="00E67620">
      <w:pPr>
        <w:jc w:val="both"/>
        <w:rPr>
          <w:szCs w:val="24"/>
        </w:rPr>
      </w:pPr>
      <w:r w:rsidRPr="009F0163">
        <w:rPr>
          <w:szCs w:val="24"/>
        </w:rPr>
        <w:t>La présente convention de partenariat prend fin automatiquement avec la disparition de</w:t>
      </w:r>
      <w:r w:rsidR="00AD5A20" w:rsidRPr="00AD5A20">
        <w:rPr>
          <w:color w:val="0070C0"/>
          <w:szCs w:val="24"/>
        </w:rPr>
        <w:t xml:space="preserve"> </w:t>
      </w:r>
      <w:proofErr w:type="gramStart"/>
      <w:r w:rsidR="00AD5A20" w:rsidRPr="00AD5A20">
        <w:rPr>
          <w:color w:val="0070C0"/>
          <w:szCs w:val="24"/>
        </w:rPr>
        <w:t>l’</w:t>
      </w:r>
      <w:r w:rsidRPr="00AD5A20">
        <w:rPr>
          <w:color w:val="0070C0"/>
          <w:szCs w:val="24"/>
        </w:rPr>
        <w:t xml:space="preserve"> autorisation</w:t>
      </w:r>
      <w:proofErr w:type="gramEnd"/>
      <w:r w:rsidRPr="009F0163">
        <w:rPr>
          <w:szCs w:val="24"/>
        </w:rPr>
        <w:t xml:space="preserve"> d’activité de soins de suite et de réadaptation détenue par l</w:t>
      </w:r>
      <w:r w:rsidR="00FC0725" w:rsidRPr="009F0163">
        <w:rPr>
          <w:szCs w:val="24"/>
        </w:rPr>
        <w:t>’établissement partenaire et faisant l’objet du partenariat.</w:t>
      </w:r>
    </w:p>
    <w:p w:rsidR="00212B0D" w:rsidRDefault="00212B0D" w:rsidP="00E67620">
      <w:pPr>
        <w:jc w:val="both"/>
        <w:rPr>
          <w:b/>
          <w:szCs w:val="24"/>
        </w:rPr>
      </w:pPr>
    </w:p>
    <w:p w:rsidR="00B35331" w:rsidRDefault="0028727C" w:rsidP="00E67620">
      <w:pPr>
        <w:jc w:val="both"/>
        <w:rPr>
          <w:szCs w:val="24"/>
        </w:rPr>
      </w:pPr>
      <w:r>
        <w:rPr>
          <w:b/>
          <w:szCs w:val="24"/>
        </w:rPr>
        <w:t xml:space="preserve">Article </w:t>
      </w:r>
      <w:r w:rsidR="00212B0D">
        <w:rPr>
          <w:b/>
          <w:szCs w:val="24"/>
        </w:rPr>
        <w:t>13</w:t>
      </w:r>
      <w:r>
        <w:rPr>
          <w:b/>
          <w:szCs w:val="24"/>
        </w:rPr>
        <w:t xml:space="preserve"> – </w:t>
      </w:r>
      <w:r w:rsidR="00B35331">
        <w:rPr>
          <w:b/>
          <w:szCs w:val="24"/>
        </w:rPr>
        <w:t>Évaluation conjointe</w:t>
      </w:r>
    </w:p>
    <w:p w:rsidR="00B35331" w:rsidRPr="009F0163" w:rsidRDefault="00B35331" w:rsidP="00E67620">
      <w:pPr>
        <w:jc w:val="both"/>
        <w:rPr>
          <w:szCs w:val="24"/>
        </w:rPr>
      </w:pPr>
      <w:r w:rsidRPr="009F0163">
        <w:rPr>
          <w:szCs w:val="24"/>
        </w:rPr>
        <w:t xml:space="preserve">Les établissements </w:t>
      </w:r>
      <w:proofErr w:type="gramStart"/>
      <w:r w:rsidRPr="009F0163">
        <w:rPr>
          <w:szCs w:val="24"/>
        </w:rPr>
        <w:t>parties</w:t>
      </w:r>
      <w:proofErr w:type="gramEnd"/>
      <w:r w:rsidRPr="009F0163">
        <w:rPr>
          <w:szCs w:val="24"/>
        </w:rPr>
        <w:t xml:space="preserve"> à la présente</w:t>
      </w:r>
      <w:r w:rsidR="00B4116A" w:rsidRPr="009F0163">
        <w:rPr>
          <w:szCs w:val="24"/>
        </w:rPr>
        <w:t xml:space="preserve"> convention </w:t>
      </w:r>
      <w:r w:rsidRPr="009F0163">
        <w:rPr>
          <w:szCs w:val="24"/>
        </w:rPr>
        <w:t>évaluent conjointement chaque année</w:t>
      </w:r>
      <w:r w:rsidR="00B4116A" w:rsidRPr="009F0163">
        <w:rPr>
          <w:szCs w:val="24"/>
        </w:rPr>
        <w:t xml:space="preserve"> le dispositif de partenariat. Ils peuvent notamment utiliser </w:t>
      </w:r>
      <w:r w:rsidR="009F0163" w:rsidRPr="009F0163">
        <w:rPr>
          <w:szCs w:val="24"/>
        </w:rPr>
        <w:t>un ou plusieurs des</w:t>
      </w:r>
      <w:r w:rsidR="00B4116A" w:rsidRPr="009F0163">
        <w:rPr>
          <w:szCs w:val="24"/>
        </w:rPr>
        <w:t xml:space="preserve"> critères suivants :</w:t>
      </w:r>
      <w:r w:rsidRPr="009F0163">
        <w:rPr>
          <w:szCs w:val="24"/>
        </w:rPr>
        <w:t xml:space="preserve">  </w:t>
      </w:r>
    </w:p>
    <w:p w:rsidR="00B35331" w:rsidRDefault="00B35331" w:rsidP="00B35331">
      <w:pPr>
        <w:pStyle w:val="Paragraphedeliste"/>
        <w:numPr>
          <w:ilvl w:val="0"/>
          <w:numId w:val="3"/>
        </w:numPr>
        <w:jc w:val="both"/>
        <w:rPr>
          <w:szCs w:val="24"/>
        </w:rPr>
      </w:pPr>
      <w:r>
        <w:rPr>
          <w:szCs w:val="24"/>
        </w:rPr>
        <w:t>les adaptations de l’offre de prise en charge en soins de suite et de réadaptation au regard</w:t>
      </w:r>
      <w:r w:rsidR="009F0163">
        <w:rPr>
          <w:szCs w:val="24"/>
        </w:rPr>
        <w:t xml:space="preserve"> </w:t>
      </w:r>
      <w:r>
        <w:rPr>
          <w:szCs w:val="24"/>
        </w:rPr>
        <w:t xml:space="preserve">des objectifs </w:t>
      </w:r>
      <w:r w:rsidR="009F0163">
        <w:rPr>
          <w:szCs w:val="24"/>
        </w:rPr>
        <w:t>qualitatifs</w:t>
      </w:r>
      <w:r>
        <w:rPr>
          <w:szCs w:val="24"/>
        </w:rPr>
        <w:t xml:space="preserve"> </w:t>
      </w:r>
      <w:r w:rsidR="009F0163">
        <w:rPr>
          <w:szCs w:val="24"/>
        </w:rPr>
        <w:t>prévus par le schéma régional de l’</w:t>
      </w:r>
      <w:r>
        <w:rPr>
          <w:szCs w:val="24"/>
        </w:rPr>
        <w:t>organisation des soins ;</w:t>
      </w:r>
    </w:p>
    <w:p w:rsidR="00B35331" w:rsidRPr="004B0EB4" w:rsidRDefault="00B35331" w:rsidP="004B0EB4">
      <w:pPr>
        <w:pStyle w:val="Paragraphedeliste"/>
        <w:numPr>
          <w:ilvl w:val="0"/>
          <w:numId w:val="3"/>
        </w:numPr>
        <w:jc w:val="both"/>
        <w:rPr>
          <w:szCs w:val="24"/>
        </w:rPr>
      </w:pPr>
      <w:r>
        <w:rPr>
          <w:szCs w:val="24"/>
        </w:rPr>
        <w:t>le degré de satisfaction des patients pris en charge dans les services des établissements de santé partenaires ;</w:t>
      </w:r>
    </w:p>
    <w:p w:rsidR="00DE3D31" w:rsidRDefault="00DE3D31" w:rsidP="00B35331">
      <w:pPr>
        <w:pStyle w:val="Paragraphedeliste"/>
        <w:numPr>
          <w:ilvl w:val="0"/>
          <w:numId w:val="3"/>
        </w:numPr>
        <w:jc w:val="both"/>
        <w:rPr>
          <w:szCs w:val="24"/>
        </w:rPr>
      </w:pPr>
      <w:r>
        <w:rPr>
          <w:szCs w:val="24"/>
        </w:rPr>
        <w:t>la bonne identification des besoins de soins de chaque patient et l’adaptation de l</w:t>
      </w:r>
      <w:r w:rsidR="004B0EB4">
        <w:rPr>
          <w:szCs w:val="24"/>
        </w:rPr>
        <w:t>a prise en charge à ces besoins ;</w:t>
      </w:r>
    </w:p>
    <w:p w:rsidR="004B0EB4" w:rsidRDefault="004B0EB4" w:rsidP="00B35331">
      <w:pPr>
        <w:pStyle w:val="Paragraphedeliste"/>
        <w:numPr>
          <w:ilvl w:val="0"/>
          <w:numId w:val="3"/>
        </w:numPr>
        <w:jc w:val="both"/>
        <w:rPr>
          <w:szCs w:val="24"/>
        </w:rPr>
      </w:pPr>
      <w:r>
        <w:rPr>
          <w:szCs w:val="24"/>
        </w:rPr>
        <w:t>les modalités et délais de repli et de ré-hospitalisation en court séjour des patients pris en charge ;</w:t>
      </w:r>
    </w:p>
    <w:p w:rsidR="004B0EB4" w:rsidRDefault="004B0EB4" w:rsidP="00B35331">
      <w:pPr>
        <w:pStyle w:val="Paragraphedeliste"/>
        <w:numPr>
          <w:ilvl w:val="0"/>
          <w:numId w:val="3"/>
        </w:numPr>
        <w:jc w:val="both"/>
        <w:rPr>
          <w:szCs w:val="24"/>
        </w:rPr>
      </w:pPr>
      <w:r>
        <w:rPr>
          <w:szCs w:val="24"/>
        </w:rPr>
        <w:t>le partage des informations médicales entre les établissements partenaires.</w:t>
      </w:r>
    </w:p>
    <w:p w:rsidR="00CC6532" w:rsidRDefault="00CC6532" w:rsidP="00CC6532">
      <w:pPr>
        <w:jc w:val="both"/>
        <w:rPr>
          <w:szCs w:val="24"/>
        </w:rPr>
      </w:pPr>
    </w:p>
    <w:p w:rsidR="009F0163" w:rsidRDefault="009F0163" w:rsidP="00CC6532">
      <w:pPr>
        <w:jc w:val="both"/>
        <w:rPr>
          <w:szCs w:val="24"/>
        </w:rPr>
      </w:pPr>
      <w:r>
        <w:rPr>
          <w:b/>
          <w:szCs w:val="24"/>
        </w:rPr>
        <w:t>Article 14 – Transmission de la convention</w:t>
      </w:r>
    </w:p>
    <w:p w:rsidR="009F0163" w:rsidRPr="009F0163" w:rsidRDefault="009F0163" w:rsidP="00CC6532">
      <w:pPr>
        <w:jc w:val="both"/>
        <w:rPr>
          <w:szCs w:val="24"/>
        </w:rPr>
      </w:pPr>
      <w:r>
        <w:rPr>
          <w:szCs w:val="24"/>
        </w:rPr>
        <w:t>La présente convention est transmise dans un délai d’un mois à l’Agence régionale de santé, ainsi qu’aux établissements publics de santé membres du GHT … n’ayant pas la qualité d’établissement-support, par un courrier commun des deux établissements partenaires.</w:t>
      </w:r>
    </w:p>
    <w:p w:rsidR="00966092" w:rsidRPr="009F0163" w:rsidRDefault="00966092" w:rsidP="00CC6532">
      <w:pPr>
        <w:jc w:val="both"/>
        <w:rPr>
          <w:color w:val="0070C0"/>
          <w:szCs w:val="24"/>
        </w:rPr>
      </w:pPr>
    </w:p>
    <w:p w:rsidR="00CC6532" w:rsidRDefault="00CC6532" w:rsidP="00CC6532">
      <w:pPr>
        <w:jc w:val="right"/>
        <w:rPr>
          <w:szCs w:val="24"/>
        </w:rPr>
      </w:pPr>
      <w:r w:rsidRPr="00CC6532">
        <w:rPr>
          <w:noProof/>
          <w:szCs w:val="24"/>
          <w:lang w:eastAsia="fr-FR"/>
        </w:rPr>
        <mc:AlternateContent>
          <mc:Choice Requires="wps">
            <w:drawing>
              <wp:anchor distT="45720" distB="45720" distL="114300" distR="114300" simplePos="0" relativeHeight="251673600" behindDoc="0" locked="0" layoutInCell="1" allowOverlap="1" wp14:anchorId="2D4B1002" wp14:editId="33B1DF0A">
                <wp:simplePos x="0" y="0"/>
                <wp:positionH relativeFrom="margin">
                  <wp:posOffset>3219450</wp:posOffset>
                </wp:positionH>
                <wp:positionV relativeFrom="paragraph">
                  <wp:posOffset>1026795</wp:posOffset>
                </wp:positionV>
                <wp:extent cx="2360930" cy="1905000"/>
                <wp:effectExtent l="0" t="0" r="63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05000"/>
                        </a:xfrm>
                        <a:prstGeom prst="rect">
                          <a:avLst/>
                        </a:prstGeom>
                        <a:solidFill>
                          <a:schemeClr val="bg2">
                            <a:lumMod val="90000"/>
                          </a:schemeClr>
                        </a:solidFill>
                        <a:ln w="9525">
                          <a:noFill/>
                          <a:miter lim="800000"/>
                          <a:headEnd/>
                          <a:tailEnd/>
                        </a:ln>
                      </wps:spPr>
                      <wps:txbx>
                        <w:txbxContent>
                          <w:p w:rsidR="00CC6532" w:rsidRDefault="00CC6532" w:rsidP="00CC6532">
                            <w:pPr>
                              <w:jc w:val="center"/>
                            </w:pPr>
                            <w:r>
                              <w:t>Pour l’établissement-support du GHT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4B1002" id="_x0000_t202" coordsize="21600,21600" o:spt="202" path="m,l,21600r21600,l21600,xe">
                <v:stroke joinstyle="miter"/>
                <v:path gradientshapeok="t" o:connecttype="rect"/>
              </v:shapetype>
              <v:shape id="Zone de texte 2" o:spid="_x0000_s1026" type="#_x0000_t202" style="position:absolute;left:0;text-align:left;margin-left:253.5pt;margin-top:80.85pt;width:185.9pt;height:150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CTMwIAAEQEAAAOAAAAZHJzL2Uyb0RvYy54bWysU01v2zAMvQ/YfxB0X+y4SdcYcYouXYcB&#10;3QfQ7bKbIsmxMEnUJCV2+utHyUkabLdhF0EUqcfHR3J5OxhN9tIHBbah00lJibQchLLbhn7/9vDm&#10;hpIQmRVMg5UNPchAb1evXy17V8sKOtBCeoIgNtS9a2gXo6uLIvBOGhYm4KRFZwvesIim3xbCsx7R&#10;jS6qsrwuevDCeeAyBHy9H510lfHbVvL4pW2DjEQ3FLnFfPp8btJZrJas3nrmOsWPNNg/sDBMWUx6&#10;hrpnkZGdV39BGcU9BGjjhIMpoG0Vl7kGrGZa/lHNU8eczLWgOMGdZQr/D5Z/3n/1RAnsHSWWGWzR&#10;D2wUEZJEOURJqiRR70KNkU8OY+PwDoYUnsoN7hH4z0AsrDtmt/LOe+g7yQRSnKafxcXXESckkE3/&#10;CQTmYrsIGWhovUmAqAhBdGzV4dwe5EE4PlZX1+XiCl0cfdNFOS/L3MCC1afvzof4QYIh6dJQj/3P&#10;8Gz/GGKiw+pTSKYPWokHpXU20szJtfZkz3BaNtsqf9U7g1zHtwVmPKXMI5rCM2q4RNKW9A1dzKt5&#10;RrCQUuRJMyriuGtlGnqTsI4DmBR7b0UOiUzp8Y5ktT1KmFQb9YvDZsDApOsGxAHF9DCONa4hXjrw&#10;z5T0ONINDb92zEtK9EeLDVlMZ7O0A9mYzd9WaPhLz+bSwyxHqIZGSsbrOua9SVJZuMPGtSpL+sLk&#10;yBVHNWtyXKu0C5d2jnpZ/tVvAAAA//8DAFBLAwQUAAYACAAAACEAhxxdduAAAAALAQAADwAAAGRy&#10;cy9kb3ducmV2LnhtbEyPQU+DQBCF7yb+h82YeDF2KdFCKEvTEE2MN9HY65YdgcrOEnbbwr93erLH&#10;ee/lzfvyzWR7ccLRd44ULBcRCKTamY4aBV+fr48pCB80Gd07QgUzetgUtze5zow70weeqtAILiGf&#10;aQVtCEMmpa9btNov3IDE3o8brQ58jo00oz5zue1lHEUraXVH/KHVA5Yt1r/V0SrYvshK2933wyEu&#10;38e3g5vjcq6Uur+btmsQAafwH4bLfJ4OBW/auyMZL3oFz1HCLIGN1TIBwYk0SRlmr+Dposgil9cM&#10;xR8AAAD//wMAUEsBAi0AFAAGAAgAAAAhALaDOJL+AAAA4QEAABMAAAAAAAAAAAAAAAAAAAAAAFtD&#10;b250ZW50X1R5cGVzXS54bWxQSwECLQAUAAYACAAAACEAOP0h/9YAAACUAQAACwAAAAAAAAAAAAAA&#10;AAAvAQAAX3JlbHMvLnJlbHNQSwECLQAUAAYACAAAACEAnAogkzMCAABEBAAADgAAAAAAAAAAAAAA&#10;AAAuAgAAZHJzL2Uyb0RvYy54bWxQSwECLQAUAAYACAAAACEAhxxdduAAAAALAQAADwAAAAAAAAAA&#10;AAAAAACNBAAAZHJzL2Rvd25yZXYueG1sUEsFBgAAAAAEAAQA8wAAAJoFAAAAAA==&#10;" fillcolor="#cfcdcd [2894]" stroked="f">
                <v:textbox>
                  <w:txbxContent>
                    <w:p w:rsidR="00CC6532" w:rsidRDefault="00CC6532" w:rsidP="00CC6532">
                      <w:pPr>
                        <w:jc w:val="center"/>
                      </w:pPr>
                      <w:r>
                        <w:t>Pour l’établissement-support du GHT …</w:t>
                      </w:r>
                    </w:p>
                  </w:txbxContent>
                </v:textbox>
                <w10:wrap type="square" anchorx="margin"/>
              </v:shape>
            </w:pict>
          </mc:Fallback>
        </mc:AlternateContent>
      </w:r>
      <w:r w:rsidRPr="00CC6532">
        <w:rPr>
          <w:noProof/>
          <w:szCs w:val="24"/>
          <w:lang w:eastAsia="fr-FR"/>
        </w:rPr>
        <mc:AlternateContent>
          <mc:Choice Requires="wps">
            <w:drawing>
              <wp:anchor distT="45720" distB="45720" distL="114300" distR="114300" simplePos="0" relativeHeight="251671552" behindDoc="0" locked="0" layoutInCell="1" allowOverlap="1" wp14:anchorId="5DC1D71B" wp14:editId="70660391">
                <wp:simplePos x="0" y="0"/>
                <wp:positionH relativeFrom="margin">
                  <wp:align>left</wp:align>
                </wp:positionH>
                <wp:positionV relativeFrom="paragraph">
                  <wp:posOffset>1049655</wp:posOffset>
                </wp:positionV>
                <wp:extent cx="2360930" cy="190500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05000"/>
                        </a:xfrm>
                        <a:prstGeom prst="rect">
                          <a:avLst/>
                        </a:prstGeom>
                        <a:solidFill>
                          <a:schemeClr val="bg2">
                            <a:lumMod val="90000"/>
                          </a:schemeClr>
                        </a:solidFill>
                        <a:ln w="9525">
                          <a:noFill/>
                          <a:miter lim="800000"/>
                          <a:headEnd/>
                          <a:tailEnd/>
                        </a:ln>
                      </wps:spPr>
                      <wps:txbx>
                        <w:txbxContent>
                          <w:p w:rsidR="00CC6532" w:rsidRDefault="00CC6532" w:rsidP="00CC6532">
                            <w:pPr>
                              <w:jc w:val="center"/>
                            </w:pPr>
                            <w:r>
                              <w:t>Pour l’établissement de santé privé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C1D71B" id="_x0000_s1027" type="#_x0000_t202" style="position:absolute;left:0;text-align:left;margin-left:0;margin-top:82.65pt;width:185.9pt;height:150pt;z-index:25167155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3FOQIAAE0EAAAOAAAAZHJzL2Uyb0RvYy54bWysVE1v2zAMvQ/YfxB0X/zRpG2MOEWXrsOA&#10;7gPodtlNluRYmCR6khK7/fWj5CTNttuwiyGK1OPjI+nVzWg02UvnFdiaFrOcEmk5CGW3Nf329f7N&#10;NSU+MCuYBitr+iQ9vVm/frUa+kqW0IEW0hEEsb4a+pp2IfRVlnneScP8DHpp0dmCMyyg6baZcGxA&#10;dKOzMs8vswGc6B1w6T3e3k1Ouk74bSt5+Ny2Xgaia4rcQvq69G3iN1uvWLV1rO8UP9Bg/8DCMGUx&#10;6QnqjgVGdk79BWUUd+ChDTMOJoO2VVymGrCaIv+jmseO9TLVguL4/iST/3+w/NP+iyNK1LQsriix&#10;zGCTvmOriJAkyDFIUkaRht5XGPvYY3QY38KIzU4F+/4B+A9PLGw6Zrfy1jkYOskEkiziy+zs6YTj&#10;I0gzfASBudguQAIaW2eigqgJQXRs1tOpQciDcLwsLy7z5QW6OPqKZb7I89TCjFXH573z4b0EQ+Kh&#10;pg4nIMGz/YMPkQ6rjiExmwetxL3SOhlx6uRGO7JnOC/NtkxP9c4g1+luiRmPKdOQxvCE+huStmSo&#10;6XJRLhKChZgizZpRAQdeK1PT64h1GMGo2DsrUkhgSk9nJKvtQcKo2qRfGJsxtSzpG+VtQDyhpg6m&#10;+cZ9xEMH7pmSAWe7pv7njjlJif5gsS/LYj6Py5CM+eKqRMOde5pzD7McoWoaKJmOm5AWKCpm4Rb7&#10;16qk7AuTA2Wc2STNYb/iUpzbKerlL7D+BQAA//8DAFBLAwQUAAYACAAAACEAUN5wod0AAAAIAQAA&#10;DwAAAGRycy9kb3ducmV2LnhtbEyPwU7DMBBE70j8g7VIXFDrNIWCQpyqikBC3BpQuW5jk6TE68h2&#10;2+Tv2Z7guDOj2Xn5erS9OBkfOkcKFvMEhKHa6Y4aBZ8fr7MnECEiaewdGQWTCbAurq9yzLQ709ac&#10;qtgILqGQoYI2xiGTMtStsRjmbjDE3rfzFiOfvpHa45nLbS/TJFlJix3xhxYHU7am/qmOVsHmRVZo&#10;v3Z3h7R8928HN6XlVCl1ezNunkFEM8a/MFzm83QoeNPeHUkH0StgkMjq6mEJgu3l44JJ9gruL4os&#10;cvkfoPgFAAD//wMAUEsBAi0AFAAGAAgAAAAhALaDOJL+AAAA4QEAABMAAAAAAAAAAAAAAAAAAAAA&#10;AFtDb250ZW50X1R5cGVzXS54bWxQSwECLQAUAAYACAAAACEAOP0h/9YAAACUAQAACwAAAAAAAAAA&#10;AAAAAAAvAQAAX3JlbHMvLnJlbHNQSwECLQAUAAYACAAAACEANtx9xTkCAABNBAAADgAAAAAAAAAA&#10;AAAAAAAuAgAAZHJzL2Uyb0RvYy54bWxQSwECLQAUAAYACAAAACEAUN5wod0AAAAIAQAADwAAAAAA&#10;AAAAAAAAAACTBAAAZHJzL2Rvd25yZXYueG1sUEsFBgAAAAAEAAQA8wAAAJ0FAAAAAA==&#10;" fillcolor="#cfcdcd [2894]" stroked="f">
                <v:textbox>
                  <w:txbxContent>
                    <w:p w:rsidR="00CC6532" w:rsidRDefault="00CC6532" w:rsidP="00CC6532">
                      <w:pPr>
                        <w:jc w:val="center"/>
                      </w:pPr>
                      <w:r>
                        <w:t>Pour l’établissement de santé privé …</w:t>
                      </w:r>
                    </w:p>
                  </w:txbxContent>
                </v:textbox>
                <w10:wrap type="square" anchorx="margin"/>
              </v:shape>
            </w:pict>
          </mc:Fallback>
        </mc:AlternateContent>
      </w:r>
      <w:r>
        <w:rPr>
          <w:szCs w:val="24"/>
        </w:rPr>
        <w:t>Fait à …, le … en … exemplaires</w:t>
      </w:r>
    </w:p>
    <w:p w:rsidR="00E5009F" w:rsidRDefault="00E5009F" w:rsidP="00CC6532">
      <w:pPr>
        <w:jc w:val="right"/>
        <w:rPr>
          <w:szCs w:val="24"/>
        </w:rPr>
      </w:pPr>
    </w:p>
    <w:p w:rsidR="00E5009F" w:rsidRDefault="00E5009F" w:rsidP="00CC6532">
      <w:pPr>
        <w:jc w:val="right"/>
        <w:rPr>
          <w:szCs w:val="24"/>
        </w:rPr>
      </w:pPr>
    </w:p>
    <w:p w:rsidR="00E5009F" w:rsidRDefault="00E5009F" w:rsidP="00CC6532">
      <w:pPr>
        <w:jc w:val="right"/>
        <w:rPr>
          <w:szCs w:val="24"/>
        </w:rPr>
      </w:pPr>
    </w:p>
    <w:p w:rsidR="00E5009F" w:rsidRDefault="00E5009F" w:rsidP="00CC6532">
      <w:pPr>
        <w:jc w:val="right"/>
        <w:rPr>
          <w:szCs w:val="24"/>
        </w:rPr>
      </w:pPr>
    </w:p>
    <w:p w:rsidR="00E5009F" w:rsidRDefault="00E5009F" w:rsidP="00CC6532">
      <w:pPr>
        <w:jc w:val="right"/>
        <w:rPr>
          <w:szCs w:val="24"/>
        </w:rPr>
      </w:pPr>
    </w:p>
    <w:p w:rsidR="00E5009F" w:rsidRDefault="00E5009F" w:rsidP="00CC6532">
      <w:pPr>
        <w:jc w:val="right"/>
        <w:rPr>
          <w:szCs w:val="24"/>
        </w:rPr>
      </w:pPr>
    </w:p>
    <w:p w:rsidR="00E5009F" w:rsidRDefault="00E5009F" w:rsidP="00CC6532">
      <w:pPr>
        <w:jc w:val="right"/>
        <w:rPr>
          <w:szCs w:val="24"/>
        </w:rPr>
      </w:pPr>
    </w:p>
    <w:p w:rsidR="005827E2" w:rsidRDefault="005827E2">
      <w:pPr>
        <w:rPr>
          <w:szCs w:val="24"/>
        </w:rPr>
      </w:pPr>
    </w:p>
    <w:p w:rsidR="00E5009F" w:rsidRDefault="00E5009F" w:rsidP="00CC6532">
      <w:pPr>
        <w:jc w:val="right"/>
        <w:rPr>
          <w:szCs w:val="24"/>
        </w:rPr>
      </w:pPr>
    </w:p>
    <w:p w:rsidR="009F581C" w:rsidRDefault="009F581C" w:rsidP="00E5009F">
      <w:pPr>
        <w:jc w:val="center"/>
        <w:rPr>
          <w:b/>
          <w:sz w:val="32"/>
          <w:szCs w:val="32"/>
        </w:rPr>
      </w:pPr>
    </w:p>
    <w:p w:rsidR="009F581C" w:rsidRDefault="009F581C" w:rsidP="00E5009F">
      <w:pPr>
        <w:jc w:val="center"/>
        <w:rPr>
          <w:b/>
          <w:sz w:val="32"/>
          <w:szCs w:val="32"/>
        </w:rPr>
      </w:pPr>
    </w:p>
    <w:p w:rsidR="00E5009F" w:rsidRPr="00CA011E" w:rsidRDefault="00E5009F" w:rsidP="00E5009F">
      <w:pPr>
        <w:jc w:val="center"/>
        <w:rPr>
          <w:b/>
          <w:sz w:val="32"/>
          <w:szCs w:val="32"/>
        </w:rPr>
      </w:pPr>
      <w:r w:rsidRPr="00CA011E">
        <w:rPr>
          <w:b/>
          <w:sz w:val="32"/>
          <w:szCs w:val="32"/>
        </w:rPr>
        <w:t xml:space="preserve">ANNEXE 1 </w:t>
      </w:r>
    </w:p>
    <w:p w:rsidR="00CA011E" w:rsidRPr="005827E2" w:rsidRDefault="00E5009F" w:rsidP="005827E2">
      <w:pPr>
        <w:jc w:val="center"/>
        <w:rPr>
          <w:b/>
          <w:sz w:val="28"/>
          <w:szCs w:val="28"/>
        </w:rPr>
      </w:pPr>
      <w:r>
        <w:rPr>
          <w:b/>
          <w:sz w:val="28"/>
          <w:szCs w:val="28"/>
        </w:rPr>
        <w:t>LISTE DES CONVENTIONS EXISTANTES ENTRE L’ÉTABLISSEMENT DE SANTÉ PRIVÉ … ET LES ÉTABLISSEMENTS MEMBRES DU GHT …</w:t>
      </w:r>
      <w:r w:rsidR="00B4116A" w:rsidRPr="007453DE">
        <w:rPr>
          <w:rStyle w:val="Appelnotedebasdep"/>
          <w:b/>
          <w:sz w:val="28"/>
          <w:szCs w:val="28"/>
        </w:rPr>
        <w:footnoteReference w:id="1"/>
      </w:r>
    </w:p>
    <w:tbl>
      <w:tblPr>
        <w:tblStyle w:val="Grilledutableau"/>
        <w:tblW w:w="0" w:type="auto"/>
        <w:tblLook w:val="0480" w:firstRow="0" w:lastRow="0" w:firstColumn="1" w:lastColumn="0" w:noHBand="0" w:noVBand="1"/>
      </w:tblPr>
      <w:tblGrid>
        <w:gridCol w:w="2431"/>
        <w:gridCol w:w="6631"/>
      </w:tblGrid>
      <w:tr w:rsidR="009F1F98" w:rsidTr="00B734C0">
        <w:trPr>
          <w:tblHeader/>
        </w:trPr>
        <w:tc>
          <w:tcPr>
            <w:tcW w:w="2431" w:type="dxa"/>
            <w:shd w:val="clear" w:color="auto" w:fill="9CC2E5" w:themeFill="accent1" w:themeFillTint="99"/>
          </w:tcPr>
          <w:p w:rsidR="009F1F98" w:rsidRPr="006C5BE1" w:rsidRDefault="009F1F98" w:rsidP="00953242">
            <w:pPr>
              <w:jc w:val="center"/>
              <w:rPr>
                <w:b/>
              </w:rPr>
            </w:pPr>
            <w:r>
              <w:rPr>
                <w:b/>
              </w:rPr>
              <w:t>Code de la santé publique</w:t>
            </w:r>
          </w:p>
        </w:tc>
        <w:tc>
          <w:tcPr>
            <w:tcW w:w="6631" w:type="dxa"/>
            <w:shd w:val="clear" w:color="auto" w:fill="9CC2E5" w:themeFill="accent1" w:themeFillTint="99"/>
          </w:tcPr>
          <w:p w:rsidR="009F1F98" w:rsidRPr="006C5BE1" w:rsidRDefault="009F1F98" w:rsidP="00953242">
            <w:pPr>
              <w:jc w:val="center"/>
              <w:rPr>
                <w:b/>
              </w:rPr>
            </w:pPr>
            <w:r>
              <w:rPr>
                <w:b/>
              </w:rPr>
              <w:t>Objet de la convention</w:t>
            </w:r>
          </w:p>
        </w:tc>
      </w:tr>
      <w:tr w:rsidR="009F1F98" w:rsidTr="00B734C0">
        <w:tc>
          <w:tcPr>
            <w:tcW w:w="9062" w:type="dxa"/>
            <w:gridSpan w:val="2"/>
            <w:shd w:val="clear" w:color="auto" w:fill="DEEAF6" w:themeFill="accent1" w:themeFillTint="33"/>
          </w:tcPr>
          <w:p w:rsidR="009F1F98" w:rsidRDefault="009F1F98" w:rsidP="00953242">
            <w:pPr>
              <w:jc w:val="center"/>
              <w:rPr>
                <w:b/>
              </w:rPr>
            </w:pPr>
            <w:r>
              <w:rPr>
                <w:b/>
              </w:rPr>
              <w:t>CONDITIONS D’IMPLANTATIONS</w:t>
            </w:r>
          </w:p>
        </w:tc>
      </w:tr>
      <w:tr w:rsidR="009F1F98" w:rsidTr="00B734C0">
        <w:tc>
          <w:tcPr>
            <w:tcW w:w="2431" w:type="dxa"/>
          </w:tcPr>
          <w:p w:rsidR="009F1F98" w:rsidRPr="00EA073F" w:rsidRDefault="009F1F98" w:rsidP="00953242">
            <w:pPr>
              <w:rPr>
                <w:b/>
              </w:rPr>
            </w:pPr>
            <w:r>
              <w:rPr>
                <w:b/>
              </w:rPr>
              <w:t>R. 6123-121</w:t>
            </w:r>
          </w:p>
        </w:tc>
        <w:tc>
          <w:tcPr>
            <w:tcW w:w="6631" w:type="dxa"/>
          </w:tcPr>
          <w:p w:rsidR="009F1F98" w:rsidRDefault="009F1F98" w:rsidP="00953242">
            <w:pPr>
              <w:tabs>
                <w:tab w:val="left" w:pos="3705"/>
              </w:tabs>
            </w:pPr>
            <w:r>
              <w:t xml:space="preserve">L'autorisation d'exercer l'activité de soins de suite et de réadaptation selon la seule forme de l'hospitalisation à temps partiel, définie au 1° et au 3° de </w:t>
            </w:r>
            <w:r w:rsidRPr="00EA073F">
              <w:t>l'article R. 6121-4</w:t>
            </w:r>
            <w:r>
              <w:t>, peut être accordée à un établissement de santé à la condition qu'il organise la prise en charge des patients dont l'état le requerrait dans un établissement de santé autorisé à exercer cette activité en hospitalisation complète, avec lequel il passe convention. Cette convention est transmise à l'agence régionale de santé.</w:t>
            </w:r>
          </w:p>
        </w:tc>
      </w:tr>
      <w:tr w:rsidR="009F1F98" w:rsidTr="00B734C0">
        <w:tc>
          <w:tcPr>
            <w:tcW w:w="2431" w:type="dxa"/>
          </w:tcPr>
          <w:p w:rsidR="009F1F98" w:rsidRPr="00EA073F" w:rsidRDefault="009F1F98" w:rsidP="00953242">
            <w:pPr>
              <w:rPr>
                <w:b/>
              </w:rPr>
            </w:pPr>
            <w:r>
              <w:rPr>
                <w:b/>
              </w:rPr>
              <w:t>R. 6123-123</w:t>
            </w:r>
          </w:p>
        </w:tc>
        <w:tc>
          <w:tcPr>
            <w:tcW w:w="6631" w:type="dxa"/>
          </w:tcPr>
          <w:p w:rsidR="009F1F98" w:rsidRDefault="009F1F98" w:rsidP="00953242">
            <w:pPr>
              <w:tabs>
                <w:tab w:val="left" w:pos="5820"/>
              </w:tabs>
            </w:pPr>
            <w:r>
              <w:t xml:space="preserve">L'établissement de santé autorisé à exercer l'activité de soins de suite et de réadaptation participe au réseau de prise en charge des urgences prévu par les </w:t>
            </w:r>
            <w:r w:rsidRPr="00EA073F">
              <w:t>articles R. 6123-26 à R. 6123-32</w:t>
            </w:r>
            <w:r>
              <w:t>, dans les conditions que détermine la convention constitutive du réseau.</w:t>
            </w:r>
          </w:p>
        </w:tc>
      </w:tr>
      <w:tr w:rsidR="009F1F98" w:rsidTr="00B734C0">
        <w:tc>
          <w:tcPr>
            <w:tcW w:w="2431" w:type="dxa"/>
          </w:tcPr>
          <w:p w:rsidR="009F1F98" w:rsidRDefault="009F1F98" w:rsidP="00953242">
            <w:pPr>
              <w:rPr>
                <w:b/>
              </w:rPr>
            </w:pPr>
            <w:r>
              <w:rPr>
                <w:b/>
              </w:rPr>
              <w:t>R. 6123-124</w:t>
            </w:r>
          </w:p>
        </w:tc>
        <w:tc>
          <w:tcPr>
            <w:tcW w:w="6631" w:type="dxa"/>
          </w:tcPr>
          <w:p w:rsidR="009F1F98" w:rsidRDefault="009F1F98" w:rsidP="00953242">
            <w:pPr>
              <w:tabs>
                <w:tab w:val="left" w:pos="5820"/>
              </w:tabs>
            </w:pPr>
            <w:r>
              <w:t xml:space="preserve">L'établissement de santé autorisé à exercer l'activité de soins de suite et de réadaptation organise, par convention avec d'autres établissements de santé, pour les cas où l'état de santé des patients le nécessiterait : </w:t>
            </w:r>
            <w:r>
              <w:br/>
            </w:r>
            <w:r>
              <w:br/>
              <w:t xml:space="preserve">1° Leur prise en charge dans les structures dispensant des soins de courte durée ou de longue durée mentionnés à </w:t>
            </w:r>
            <w:r w:rsidRPr="00EA073F">
              <w:t xml:space="preserve">l'article L. 6111-2 </w:t>
            </w:r>
            <w:r>
              <w:t xml:space="preserve">; </w:t>
            </w:r>
            <w:r>
              <w:br/>
            </w:r>
            <w:r>
              <w:br/>
              <w:t xml:space="preserve">2° Leur prise en charge dans les structures de soins de suite et de réadaptation accueillant les catégories de patients ou affections mentionnées à </w:t>
            </w:r>
            <w:r w:rsidRPr="00EA073F">
              <w:t>l'article R. 6123-120, dont</w:t>
            </w:r>
            <w:r>
              <w:t xml:space="preserve"> il ne dispose pas lui-même.</w:t>
            </w:r>
          </w:p>
        </w:tc>
      </w:tr>
      <w:tr w:rsidR="009F1F98" w:rsidTr="00B734C0">
        <w:tc>
          <w:tcPr>
            <w:tcW w:w="2431" w:type="dxa"/>
          </w:tcPr>
          <w:p w:rsidR="009F1F98" w:rsidRDefault="009F1F98" w:rsidP="00953242">
            <w:pPr>
              <w:rPr>
                <w:b/>
              </w:rPr>
            </w:pPr>
            <w:r>
              <w:rPr>
                <w:b/>
              </w:rPr>
              <w:t>R. 6123-126</w:t>
            </w:r>
          </w:p>
        </w:tc>
        <w:tc>
          <w:tcPr>
            <w:tcW w:w="6631" w:type="dxa"/>
          </w:tcPr>
          <w:p w:rsidR="009F1F98" w:rsidRPr="00EA073F" w:rsidRDefault="009F1F98" w:rsidP="00953242">
            <w:pPr>
              <w:spacing w:before="100" w:beforeAutospacing="1" w:after="100" w:afterAutospacing="1"/>
              <w:rPr>
                <w:rFonts w:eastAsia="Times New Roman" w:cs="Times New Roman"/>
                <w:szCs w:val="24"/>
                <w:lang w:eastAsia="fr-FR"/>
              </w:rPr>
            </w:pPr>
            <w:r w:rsidRPr="00EA073F">
              <w:rPr>
                <w:rFonts w:eastAsia="Times New Roman" w:cs="Times New Roman"/>
                <w:szCs w:val="24"/>
                <w:lang w:eastAsia="fr-FR"/>
              </w:rPr>
              <w:t xml:space="preserve">L'établissement de santé autorisé à exercer l'activité de soins de suite et de réadaptation organise, au moyen de conventions, les coopérations avec les établissements, services ou personnes mentionnés au code de la santé publique ou au code de l'action sociale et des familles que nécessitent : </w:t>
            </w:r>
          </w:p>
          <w:p w:rsidR="009F1F98" w:rsidRPr="00EA073F" w:rsidRDefault="009F1F98" w:rsidP="00953242">
            <w:pPr>
              <w:spacing w:before="100" w:beforeAutospacing="1" w:after="100" w:afterAutospacing="1"/>
              <w:rPr>
                <w:rFonts w:eastAsia="Times New Roman" w:cs="Times New Roman"/>
                <w:szCs w:val="24"/>
                <w:lang w:eastAsia="fr-FR"/>
              </w:rPr>
            </w:pPr>
            <w:r w:rsidRPr="00EA073F">
              <w:rPr>
                <w:rFonts w:eastAsia="Times New Roman" w:cs="Times New Roman"/>
                <w:szCs w:val="24"/>
                <w:lang w:eastAsia="fr-FR"/>
              </w:rPr>
              <w:t xml:space="preserve">1° La mise en œuvre de sa mission de préparation et d'accompagnement à la réinsertion prévue au 3° de l'article R. 6123-119, notamment l'admission en établissement ou en service médico-sociaux mentionnés à l'article L. 312-1 du code de l'action sociale et des familles ; </w:t>
            </w:r>
          </w:p>
          <w:p w:rsidR="009F1F98" w:rsidRPr="00EA073F" w:rsidRDefault="009F1F98" w:rsidP="00953242">
            <w:pPr>
              <w:spacing w:before="100" w:beforeAutospacing="1" w:after="100" w:afterAutospacing="1"/>
              <w:rPr>
                <w:rFonts w:eastAsia="Times New Roman" w:cs="Times New Roman"/>
                <w:szCs w:val="24"/>
                <w:lang w:eastAsia="fr-FR"/>
              </w:rPr>
            </w:pPr>
            <w:r w:rsidRPr="00EA073F">
              <w:rPr>
                <w:rFonts w:eastAsia="Times New Roman" w:cs="Times New Roman"/>
                <w:szCs w:val="24"/>
                <w:lang w:eastAsia="fr-FR"/>
              </w:rPr>
              <w:lastRenderedPageBreak/>
              <w:t xml:space="preserve">2° La coordination de la prise en charge et du suivi des patients. </w:t>
            </w:r>
          </w:p>
          <w:p w:rsidR="009F1F98" w:rsidRPr="00EA073F" w:rsidRDefault="009F1F98" w:rsidP="00953242">
            <w:pPr>
              <w:spacing w:before="100" w:beforeAutospacing="1" w:after="100" w:afterAutospacing="1"/>
              <w:rPr>
                <w:rFonts w:eastAsia="Times New Roman" w:cs="Times New Roman"/>
                <w:szCs w:val="24"/>
                <w:lang w:eastAsia="fr-FR"/>
              </w:rPr>
            </w:pPr>
            <w:r w:rsidRPr="00EA073F">
              <w:rPr>
                <w:rFonts w:eastAsia="Times New Roman" w:cs="Times New Roman"/>
                <w:szCs w:val="24"/>
                <w:lang w:eastAsia="fr-FR"/>
              </w:rPr>
              <w:t>Ces conventions sont transmises à l'agence régionale de santé.</w:t>
            </w:r>
          </w:p>
          <w:p w:rsidR="009F1F98" w:rsidRDefault="009F1F98" w:rsidP="00953242">
            <w:pPr>
              <w:tabs>
                <w:tab w:val="left" w:pos="5820"/>
              </w:tabs>
            </w:pPr>
          </w:p>
        </w:tc>
      </w:tr>
      <w:tr w:rsidR="009F1F98" w:rsidTr="00B734C0">
        <w:tc>
          <w:tcPr>
            <w:tcW w:w="9062" w:type="dxa"/>
            <w:gridSpan w:val="2"/>
            <w:shd w:val="clear" w:color="auto" w:fill="DEEAF6" w:themeFill="accent1" w:themeFillTint="33"/>
          </w:tcPr>
          <w:p w:rsidR="009F1F98" w:rsidRPr="004F0DC4" w:rsidRDefault="009F1F98" w:rsidP="00953242">
            <w:pPr>
              <w:spacing w:before="100" w:beforeAutospacing="1" w:after="100" w:afterAutospacing="1"/>
              <w:jc w:val="center"/>
              <w:rPr>
                <w:rFonts w:eastAsia="Times New Roman" w:cs="Times New Roman"/>
                <w:b/>
                <w:szCs w:val="24"/>
                <w:lang w:eastAsia="fr-FR"/>
              </w:rPr>
            </w:pPr>
            <w:r w:rsidRPr="004F0DC4">
              <w:rPr>
                <w:rFonts w:eastAsia="Times New Roman" w:cs="Times New Roman"/>
                <w:b/>
                <w:szCs w:val="24"/>
                <w:lang w:eastAsia="fr-FR"/>
              </w:rPr>
              <w:lastRenderedPageBreak/>
              <w:t>CONDITIONS TECHNIQUES DE FONCTIONNEMENT</w:t>
            </w:r>
          </w:p>
        </w:tc>
      </w:tr>
      <w:tr w:rsidR="009F1F98" w:rsidTr="00B734C0">
        <w:tc>
          <w:tcPr>
            <w:tcW w:w="9062" w:type="dxa"/>
            <w:gridSpan w:val="2"/>
            <w:shd w:val="clear" w:color="auto" w:fill="DEEAF6" w:themeFill="accent1" w:themeFillTint="33"/>
          </w:tcPr>
          <w:p w:rsidR="009F1F98" w:rsidRPr="006B05EE" w:rsidRDefault="009F1F98" w:rsidP="00953242">
            <w:pPr>
              <w:spacing w:before="100" w:beforeAutospacing="1" w:after="100" w:afterAutospacing="1"/>
              <w:jc w:val="center"/>
              <w:rPr>
                <w:rFonts w:eastAsia="Times New Roman" w:cs="Times New Roman"/>
                <w:b/>
                <w:szCs w:val="24"/>
                <w:u w:val="single"/>
                <w:lang w:eastAsia="fr-FR"/>
              </w:rPr>
            </w:pPr>
            <w:r>
              <w:rPr>
                <w:rFonts w:eastAsia="Times New Roman" w:cs="Times New Roman"/>
                <w:b/>
                <w:szCs w:val="24"/>
                <w:u w:val="single"/>
                <w:lang w:eastAsia="fr-FR"/>
              </w:rPr>
              <w:t>Conditions générales</w:t>
            </w:r>
          </w:p>
        </w:tc>
      </w:tr>
      <w:tr w:rsidR="009F1F98" w:rsidTr="00B734C0">
        <w:tc>
          <w:tcPr>
            <w:tcW w:w="2431" w:type="dxa"/>
          </w:tcPr>
          <w:p w:rsidR="009F1F98" w:rsidRDefault="009F1F98" w:rsidP="00953242">
            <w:pPr>
              <w:rPr>
                <w:b/>
              </w:rPr>
            </w:pPr>
            <w:r>
              <w:rPr>
                <w:b/>
              </w:rPr>
              <w:t>D. 6124-177-4</w:t>
            </w:r>
          </w:p>
        </w:tc>
        <w:tc>
          <w:tcPr>
            <w:tcW w:w="6631" w:type="dxa"/>
          </w:tcPr>
          <w:p w:rsidR="009F1F98" w:rsidRPr="00EA073F" w:rsidRDefault="009F1F98" w:rsidP="00953242">
            <w:pPr>
              <w:spacing w:before="100" w:beforeAutospacing="1" w:after="100" w:afterAutospacing="1"/>
              <w:rPr>
                <w:rFonts w:eastAsia="Times New Roman" w:cs="Times New Roman"/>
                <w:szCs w:val="24"/>
                <w:lang w:eastAsia="fr-FR"/>
              </w:rPr>
            </w:pPr>
            <w:r>
              <w:t>Le titulaire de l'autorisation prend toutes mesures propres à assurer la continuité médicale des soins des patients dont il a la charge. L'organisation mise en place à cet effet vise à assurer un délai d'intervention du médecin compatible avec la sécurité des patients. Cette organisation peut être commune à plusieurs établissements de santé. La convention établie entre les établissements de santé concernés et fixant cette organisation est transmise au directeur général de l'agence régionale de santé. Celui-ci peut s'opposer à la mise en application de tout ou partie de ses dispositions dans les deux mois suivant sa réception, puis à tout moment si des circonstances de fait et de droit le justifient. (…)</w:t>
            </w:r>
          </w:p>
        </w:tc>
      </w:tr>
      <w:tr w:rsidR="009F1F98" w:rsidTr="00B734C0">
        <w:tc>
          <w:tcPr>
            <w:tcW w:w="2431" w:type="dxa"/>
          </w:tcPr>
          <w:p w:rsidR="009F1F98" w:rsidRDefault="009F1F98" w:rsidP="00953242">
            <w:pPr>
              <w:rPr>
                <w:b/>
              </w:rPr>
            </w:pPr>
            <w:r>
              <w:rPr>
                <w:b/>
              </w:rPr>
              <w:t>D. 6124-177-8</w:t>
            </w:r>
          </w:p>
        </w:tc>
        <w:tc>
          <w:tcPr>
            <w:tcW w:w="6631" w:type="dxa"/>
          </w:tcPr>
          <w:p w:rsidR="009F1F98" w:rsidRDefault="009F1F98" w:rsidP="00953242">
            <w:pPr>
              <w:spacing w:before="100" w:beforeAutospacing="1" w:after="100" w:afterAutospacing="1"/>
            </w:pPr>
            <w:r>
              <w:t>Le titulaire de l'autorisation organise l'accès des patients à un plateau technique d'imagerie médicale, le cas échéant par convention avec un autre établissement de santé ou groupement de coopération sanitaire. Il dispose de la possibilité de faire réaliser des analyses de biologie médicale, le cas échéant par convention avec un établissement de santé ou groupement de coopération sanitaire ou un laboratoire d'analyses de biologie médicale.</w:t>
            </w:r>
          </w:p>
        </w:tc>
      </w:tr>
      <w:tr w:rsidR="009F1F98" w:rsidTr="00B734C0">
        <w:tc>
          <w:tcPr>
            <w:tcW w:w="9062" w:type="dxa"/>
            <w:gridSpan w:val="2"/>
            <w:shd w:val="clear" w:color="auto" w:fill="DEEAF6" w:themeFill="accent1" w:themeFillTint="33"/>
          </w:tcPr>
          <w:p w:rsidR="009F1F98" w:rsidRPr="006B05EE" w:rsidRDefault="009F1F98" w:rsidP="00953242">
            <w:pPr>
              <w:tabs>
                <w:tab w:val="left" w:pos="2595"/>
                <w:tab w:val="center" w:pos="6889"/>
              </w:tabs>
              <w:spacing w:before="100" w:beforeAutospacing="1" w:after="100" w:afterAutospacing="1"/>
              <w:rPr>
                <w:b/>
                <w:u w:val="single"/>
              </w:rPr>
            </w:pPr>
            <w:r>
              <w:rPr>
                <w:b/>
                <w:u w:val="single"/>
              </w:rPr>
              <w:tab/>
            </w:r>
            <w:r>
              <w:rPr>
                <w:b/>
                <w:u w:val="single"/>
              </w:rPr>
              <w:tab/>
              <w:t>Conditions particulières à la prise en charge des enfants ou adolescents</w:t>
            </w:r>
          </w:p>
        </w:tc>
      </w:tr>
      <w:tr w:rsidR="009F1F98" w:rsidTr="00B734C0">
        <w:tc>
          <w:tcPr>
            <w:tcW w:w="2431" w:type="dxa"/>
          </w:tcPr>
          <w:p w:rsidR="009F1F98" w:rsidRDefault="009F1F98" w:rsidP="00953242">
            <w:pPr>
              <w:rPr>
                <w:b/>
              </w:rPr>
            </w:pPr>
            <w:r>
              <w:rPr>
                <w:b/>
              </w:rPr>
              <w:t>D. 6124-177-13</w:t>
            </w:r>
          </w:p>
        </w:tc>
        <w:tc>
          <w:tcPr>
            <w:tcW w:w="6631" w:type="dxa"/>
          </w:tcPr>
          <w:p w:rsidR="009F1F98" w:rsidRPr="006B05EE" w:rsidRDefault="009F1F98" w:rsidP="00953242">
            <w:pPr>
              <w:rPr>
                <w:rFonts w:eastAsia="Times New Roman" w:cs="Times New Roman"/>
                <w:szCs w:val="24"/>
                <w:lang w:eastAsia="fr-FR"/>
              </w:rPr>
            </w:pPr>
            <w:r>
              <w:t xml:space="preserve">(…) </w:t>
            </w:r>
            <w:r w:rsidRPr="004F0DC4">
              <w:rPr>
                <w:rFonts w:eastAsia="Times New Roman" w:cs="Times New Roman"/>
                <w:szCs w:val="24"/>
                <w:lang w:eastAsia="fr-FR"/>
              </w:rPr>
              <w:t xml:space="preserve">Si l'établissement de santé n'est pas lui-même autorisé à exercer les activités de médecine d'urgence et de réanimation pédiatrique, il passe convention avec un établissement de santé autorisé à exercer ces activités de soins. Cette convention précise les modalités de transfert des patients lorsque leur état de santé le nécessite, ainsi que les modalités de coopération entre les équipes médicales et paramédicales. </w:t>
            </w:r>
          </w:p>
        </w:tc>
      </w:tr>
      <w:tr w:rsidR="009F1F98" w:rsidTr="00B734C0">
        <w:tc>
          <w:tcPr>
            <w:tcW w:w="9062" w:type="dxa"/>
            <w:gridSpan w:val="2"/>
            <w:shd w:val="clear" w:color="auto" w:fill="DEEAF6" w:themeFill="accent1" w:themeFillTint="33"/>
          </w:tcPr>
          <w:p w:rsidR="009F1F98" w:rsidRPr="006B05EE" w:rsidRDefault="009F1F98" w:rsidP="00953242">
            <w:pPr>
              <w:jc w:val="center"/>
              <w:rPr>
                <w:b/>
                <w:u w:val="single"/>
              </w:rPr>
            </w:pPr>
            <w:r>
              <w:rPr>
                <w:b/>
                <w:u w:val="single"/>
              </w:rPr>
              <w:t>Conditions particulières à la prise en charge spécialisée des affections de l’appareil locomoteur</w:t>
            </w:r>
          </w:p>
        </w:tc>
      </w:tr>
      <w:tr w:rsidR="009F1F98" w:rsidTr="00B734C0">
        <w:tc>
          <w:tcPr>
            <w:tcW w:w="2431" w:type="dxa"/>
          </w:tcPr>
          <w:p w:rsidR="009F1F98" w:rsidRDefault="009F1F98" w:rsidP="00953242">
            <w:pPr>
              <w:rPr>
                <w:b/>
              </w:rPr>
            </w:pPr>
            <w:r>
              <w:rPr>
                <w:b/>
              </w:rPr>
              <w:t>D. 6124-177-20</w:t>
            </w:r>
          </w:p>
        </w:tc>
        <w:tc>
          <w:tcPr>
            <w:tcW w:w="6631" w:type="dxa"/>
          </w:tcPr>
          <w:p w:rsidR="009F1F98" w:rsidRDefault="009F1F98" w:rsidP="00953242">
            <w:r>
              <w:t>(…) Le titulaire de l'autorisation assure l'accès, le cas échéant par voie de convention avec un autre établissement de santé ou un groupement de coopération sanitaire, à un atelier d'ajustement d'aides techniques, à un atelier d'appareillage et de confection de prothèses et à un laboratoire d'analyse du mouvement.</w:t>
            </w:r>
          </w:p>
        </w:tc>
      </w:tr>
      <w:tr w:rsidR="009F1F98" w:rsidTr="00B734C0">
        <w:tc>
          <w:tcPr>
            <w:tcW w:w="9062" w:type="dxa"/>
            <w:gridSpan w:val="2"/>
            <w:shd w:val="clear" w:color="auto" w:fill="DEEAF6" w:themeFill="accent1" w:themeFillTint="33"/>
          </w:tcPr>
          <w:p w:rsidR="009F1F98" w:rsidRPr="00F36466" w:rsidRDefault="009F1F98" w:rsidP="00953242">
            <w:pPr>
              <w:jc w:val="center"/>
              <w:rPr>
                <w:b/>
                <w:u w:val="single"/>
              </w:rPr>
            </w:pPr>
            <w:r>
              <w:rPr>
                <w:b/>
                <w:u w:val="single"/>
              </w:rPr>
              <w:t>Conditions particulières à la prise en charge spécialisée des affections du système nerveux</w:t>
            </w:r>
          </w:p>
        </w:tc>
      </w:tr>
      <w:tr w:rsidR="009F1F98" w:rsidTr="00B734C0">
        <w:tc>
          <w:tcPr>
            <w:tcW w:w="2431" w:type="dxa"/>
          </w:tcPr>
          <w:p w:rsidR="009F1F98" w:rsidRDefault="009F1F98" w:rsidP="00953242">
            <w:pPr>
              <w:rPr>
                <w:b/>
              </w:rPr>
            </w:pPr>
            <w:r>
              <w:rPr>
                <w:b/>
              </w:rPr>
              <w:t>D. 6124-177-23</w:t>
            </w:r>
          </w:p>
        </w:tc>
        <w:tc>
          <w:tcPr>
            <w:tcW w:w="6631" w:type="dxa"/>
          </w:tcPr>
          <w:p w:rsidR="009F1F98" w:rsidRDefault="009F1F98" w:rsidP="00953242">
            <w:r>
              <w:t xml:space="preserve">S'il n'est pas lui-même autorisé à exercer les activités de soins de réanimation adulte ou pédiatrique et de neurochirurgie, le titulaire de l'autorisation organise la prise en charge des patients dont l'état </w:t>
            </w:r>
            <w:r>
              <w:lastRenderedPageBreak/>
              <w:t>de santé le requerrait par un établissement de santé autorisé à exercer ces activités avec lequel il passe convention.</w:t>
            </w:r>
          </w:p>
        </w:tc>
      </w:tr>
      <w:tr w:rsidR="009F1F98" w:rsidTr="00B734C0">
        <w:tc>
          <w:tcPr>
            <w:tcW w:w="2431" w:type="dxa"/>
          </w:tcPr>
          <w:p w:rsidR="009F1F98" w:rsidRDefault="009F1F98" w:rsidP="00953242">
            <w:pPr>
              <w:rPr>
                <w:b/>
              </w:rPr>
            </w:pPr>
            <w:r>
              <w:rPr>
                <w:b/>
              </w:rPr>
              <w:lastRenderedPageBreak/>
              <w:t>D. 6124-177-25</w:t>
            </w:r>
          </w:p>
        </w:tc>
        <w:tc>
          <w:tcPr>
            <w:tcW w:w="6631" w:type="dxa"/>
          </w:tcPr>
          <w:p w:rsidR="009F1F98" w:rsidRDefault="009F1F98" w:rsidP="00953242">
            <w:r>
              <w:t>Le titulaire de l'autorisation assure l'accès à un plateau technique permettant de réaliser des examens d'électromyographie et d'électroencéphalographie, à un laboratoire d'urodynamique et à un laboratoire d'analyse du mouvement, le cas échéant par voie de convention avec un autre établissement de santé ou groupement de coopération sanitaire.</w:t>
            </w:r>
          </w:p>
        </w:tc>
      </w:tr>
      <w:tr w:rsidR="009F1F98" w:rsidTr="00B734C0">
        <w:tc>
          <w:tcPr>
            <w:tcW w:w="9062" w:type="dxa"/>
            <w:gridSpan w:val="2"/>
            <w:shd w:val="clear" w:color="auto" w:fill="DEEAF6" w:themeFill="accent1" w:themeFillTint="33"/>
          </w:tcPr>
          <w:p w:rsidR="009F1F98" w:rsidRPr="00075632" w:rsidRDefault="009F1F98" w:rsidP="00953242">
            <w:pPr>
              <w:jc w:val="center"/>
              <w:rPr>
                <w:b/>
                <w:u w:val="single"/>
              </w:rPr>
            </w:pPr>
            <w:r>
              <w:rPr>
                <w:b/>
                <w:u w:val="single"/>
              </w:rPr>
              <w:t>Conditions particulières à la prise en charge spécialisée des affections cardio-vasculaires</w:t>
            </w:r>
          </w:p>
        </w:tc>
      </w:tr>
      <w:tr w:rsidR="009F1F98" w:rsidTr="00B734C0">
        <w:tc>
          <w:tcPr>
            <w:tcW w:w="2431" w:type="dxa"/>
          </w:tcPr>
          <w:p w:rsidR="009F1F98" w:rsidRDefault="009F1F98" w:rsidP="00953242">
            <w:pPr>
              <w:rPr>
                <w:b/>
              </w:rPr>
            </w:pPr>
            <w:r>
              <w:rPr>
                <w:b/>
              </w:rPr>
              <w:t>D. 6124-177-29</w:t>
            </w:r>
          </w:p>
        </w:tc>
        <w:tc>
          <w:tcPr>
            <w:tcW w:w="6631" w:type="dxa"/>
          </w:tcPr>
          <w:p w:rsidR="009F1F98" w:rsidRPr="00075632" w:rsidRDefault="009F1F98" w:rsidP="00953242">
            <w:pPr>
              <w:rPr>
                <w:rFonts w:eastAsia="Times New Roman" w:cs="Times New Roman"/>
                <w:szCs w:val="24"/>
                <w:lang w:eastAsia="fr-FR"/>
              </w:rPr>
            </w:pPr>
            <w:r w:rsidRPr="00075632">
              <w:rPr>
                <w:rFonts w:eastAsia="Times New Roman" w:cs="Times New Roman"/>
                <w:szCs w:val="24"/>
                <w:lang w:eastAsia="fr-FR"/>
              </w:rPr>
              <w:t>Le titulaire de l'autorisation assure à ses patients l'accès à une unité de soins intensifs de cardiologie prévue à l'article D. 6124-107, le cas échéant par voie de convention avec un autre établissement de santé ou groupement de coopération sanitaire. La convention précise les conditions de transfert des patients dans l'unité des soins intensifs.</w:t>
            </w:r>
          </w:p>
        </w:tc>
      </w:tr>
      <w:tr w:rsidR="009F1F98" w:rsidTr="00B734C0">
        <w:tc>
          <w:tcPr>
            <w:tcW w:w="9062" w:type="dxa"/>
            <w:gridSpan w:val="2"/>
            <w:shd w:val="clear" w:color="auto" w:fill="DEEAF6" w:themeFill="accent1" w:themeFillTint="33"/>
          </w:tcPr>
          <w:p w:rsidR="009F1F98" w:rsidRPr="00AA00FC" w:rsidRDefault="009F1F98" w:rsidP="00953242">
            <w:pPr>
              <w:jc w:val="center"/>
              <w:rPr>
                <w:rFonts w:eastAsia="Times New Roman" w:cs="Times New Roman"/>
                <w:b/>
                <w:szCs w:val="24"/>
                <w:u w:val="single"/>
                <w:lang w:eastAsia="fr-FR"/>
              </w:rPr>
            </w:pPr>
            <w:r>
              <w:rPr>
                <w:rFonts w:eastAsia="Times New Roman" w:cs="Times New Roman"/>
                <w:b/>
                <w:szCs w:val="24"/>
                <w:u w:val="single"/>
                <w:lang w:eastAsia="fr-FR"/>
              </w:rPr>
              <w:t>Conditions particulières à la prise en charge spécialisée des affections respiratoires</w:t>
            </w:r>
          </w:p>
        </w:tc>
      </w:tr>
      <w:tr w:rsidR="009F1F98" w:rsidTr="00B734C0">
        <w:tc>
          <w:tcPr>
            <w:tcW w:w="2431" w:type="dxa"/>
          </w:tcPr>
          <w:p w:rsidR="009F1F98" w:rsidRDefault="009F1F98" w:rsidP="00953242">
            <w:pPr>
              <w:rPr>
                <w:b/>
              </w:rPr>
            </w:pPr>
            <w:r>
              <w:rPr>
                <w:b/>
              </w:rPr>
              <w:t>D. 6124-177-35</w:t>
            </w:r>
          </w:p>
        </w:tc>
        <w:tc>
          <w:tcPr>
            <w:tcW w:w="6631" w:type="dxa"/>
          </w:tcPr>
          <w:p w:rsidR="009F1F98" w:rsidRPr="00075632" w:rsidRDefault="009F1F98" w:rsidP="00953242">
            <w:pPr>
              <w:rPr>
                <w:rFonts w:eastAsia="Times New Roman" w:cs="Times New Roman"/>
                <w:szCs w:val="24"/>
                <w:lang w:eastAsia="fr-FR"/>
              </w:rPr>
            </w:pPr>
            <w:r>
              <w:rPr>
                <w:rFonts w:eastAsia="Times New Roman" w:cs="Times New Roman"/>
                <w:szCs w:val="24"/>
                <w:lang w:eastAsia="fr-FR"/>
              </w:rPr>
              <w:t xml:space="preserve">(…) </w:t>
            </w:r>
            <w:r>
              <w:t>Il assure à ses patients l'accès à une unité de réanimation médicale ou de soins intensifs adaptés, le cas échéant par voie de convention avec un autre établissement de santé ou groupement de coopération sanitaire. La convention précise les conditions de transfert des patients dans ces unités.</w:t>
            </w:r>
          </w:p>
        </w:tc>
      </w:tr>
      <w:tr w:rsidR="009F1F98" w:rsidTr="00B734C0">
        <w:tc>
          <w:tcPr>
            <w:tcW w:w="2431" w:type="dxa"/>
          </w:tcPr>
          <w:p w:rsidR="009F1F98" w:rsidRDefault="009F1F98" w:rsidP="00953242">
            <w:pPr>
              <w:rPr>
                <w:b/>
              </w:rPr>
            </w:pPr>
            <w:r>
              <w:rPr>
                <w:b/>
              </w:rPr>
              <w:t>D. 6124-177-36</w:t>
            </w:r>
          </w:p>
        </w:tc>
        <w:tc>
          <w:tcPr>
            <w:tcW w:w="6631" w:type="dxa"/>
          </w:tcPr>
          <w:p w:rsidR="009F1F98" w:rsidRDefault="009F1F98" w:rsidP="00953242">
            <w:pPr>
              <w:rPr>
                <w:rFonts w:eastAsia="Times New Roman" w:cs="Times New Roman"/>
                <w:szCs w:val="24"/>
                <w:lang w:eastAsia="fr-FR"/>
              </w:rPr>
            </w:pPr>
            <w:r>
              <w:rPr>
                <w:rFonts w:eastAsia="Times New Roman" w:cs="Times New Roman"/>
                <w:szCs w:val="24"/>
                <w:lang w:eastAsia="fr-FR"/>
              </w:rPr>
              <w:t xml:space="preserve">(…) </w:t>
            </w:r>
            <w:r>
              <w:t>Le titulaire de l'autorisation assure l'accès des patients, le cas échéant par voie de convention avec un autre établissement de santé ou groupement de coopération sanitaire, à un plateau technique d'explorations pneumologiques permettant au minimum la réalisation de radiographies du thorax, d'explorations fonctionnelles respiratoires au repos et à l'effort, de fibroscopies bronchiques et la mesure des gaz du sang.</w:t>
            </w:r>
          </w:p>
        </w:tc>
      </w:tr>
      <w:tr w:rsidR="009F1F98" w:rsidTr="00B734C0">
        <w:tc>
          <w:tcPr>
            <w:tcW w:w="9062" w:type="dxa"/>
            <w:gridSpan w:val="2"/>
            <w:shd w:val="clear" w:color="auto" w:fill="DEEAF6" w:themeFill="accent1" w:themeFillTint="33"/>
          </w:tcPr>
          <w:p w:rsidR="009F1F98" w:rsidRPr="00AA00FC" w:rsidRDefault="009F1F98" w:rsidP="00953242">
            <w:pPr>
              <w:jc w:val="center"/>
              <w:rPr>
                <w:rFonts w:eastAsia="Times New Roman" w:cs="Times New Roman"/>
                <w:b/>
                <w:szCs w:val="24"/>
                <w:u w:val="single"/>
                <w:lang w:eastAsia="fr-FR"/>
              </w:rPr>
            </w:pPr>
            <w:r>
              <w:rPr>
                <w:rFonts w:eastAsia="Times New Roman" w:cs="Times New Roman"/>
                <w:b/>
                <w:szCs w:val="24"/>
                <w:u w:val="single"/>
                <w:lang w:eastAsia="fr-FR"/>
              </w:rPr>
              <w:t xml:space="preserve">Conditions particulières à la prise en charge spécialisée des affections </w:t>
            </w:r>
            <w:proofErr w:type="spellStart"/>
            <w:r>
              <w:rPr>
                <w:rFonts w:eastAsia="Times New Roman" w:cs="Times New Roman"/>
                <w:b/>
                <w:szCs w:val="24"/>
                <w:u w:val="single"/>
                <w:lang w:eastAsia="fr-FR"/>
              </w:rPr>
              <w:t>onco</w:t>
            </w:r>
            <w:proofErr w:type="spellEnd"/>
            <w:r>
              <w:rPr>
                <w:rFonts w:eastAsia="Times New Roman" w:cs="Times New Roman"/>
                <w:b/>
                <w:szCs w:val="24"/>
                <w:u w:val="single"/>
                <w:lang w:eastAsia="fr-FR"/>
              </w:rPr>
              <w:t>-hématologiques</w:t>
            </w:r>
          </w:p>
        </w:tc>
      </w:tr>
      <w:tr w:rsidR="009F1F98" w:rsidTr="00B734C0">
        <w:tc>
          <w:tcPr>
            <w:tcW w:w="2431" w:type="dxa"/>
          </w:tcPr>
          <w:p w:rsidR="009F1F98" w:rsidRDefault="009F1F98" w:rsidP="00953242">
            <w:pPr>
              <w:rPr>
                <w:b/>
              </w:rPr>
            </w:pPr>
            <w:r>
              <w:rPr>
                <w:b/>
              </w:rPr>
              <w:t>D. 6124-177-40</w:t>
            </w:r>
          </w:p>
        </w:tc>
        <w:tc>
          <w:tcPr>
            <w:tcW w:w="6631" w:type="dxa"/>
          </w:tcPr>
          <w:p w:rsidR="009F1F98" w:rsidRDefault="009F1F98" w:rsidP="00953242">
            <w:pPr>
              <w:spacing w:before="100" w:beforeAutospacing="1" w:after="100" w:afterAutospacing="1"/>
              <w:rPr>
                <w:rFonts w:eastAsia="Times New Roman" w:cs="Times New Roman"/>
                <w:szCs w:val="24"/>
                <w:lang w:eastAsia="fr-FR"/>
              </w:rPr>
            </w:pPr>
            <w:r w:rsidRPr="00AA00FC">
              <w:rPr>
                <w:rFonts w:eastAsia="Times New Roman" w:cs="Times New Roman"/>
                <w:szCs w:val="24"/>
                <w:lang w:eastAsia="fr-FR"/>
              </w:rPr>
              <w:t>Le titulaire de l'autorisation est membre d'un réseau de cancérologie mentionné au 1° de l'article R. 6123-88. Il passe convention avec un ou des titulaires de l'autorisation d'exercer l'activité de soins du cancer mentionnée au 18° de l'article R. 6122-25. Cette convention précise les modalités de transfert des patients lorsque leur état de santé le nécessite, ainsi que les modalités de coopération entre les équipes médicales et paramédicales.</w:t>
            </w:r>
          </w:p>
        </w:tc>
      </w:tr>
      <w:tr w:rsidR="009F1F98" w:rsidRPr="00F317A6" w:rsidTr="00B734C0">
        <w:tc>
          <w:tcPr>
            <w:tcW w:w="9062" w:type="dxa"/>
            <w:gridSpan w:val="2"/>
            <w:shd w:val="clear" w:color="auto" w:fill="DEEAF6" w:themeFill="accent1" w:themeFillTint="33"/>
          </w:tcPr>
          <w:p w:rsidR="009F1F98" w:rsidRPr="00F317A6" w:rsidRDefault="009F1F98" w:rsidP="00953242">
            <w:pPr>
              <w:spacing w:before="100" w:beforeAutospacing="1" w:after="100" w:afterAutospacing="1"/>
              <w:jc w:val="center"/>
              <w:rPr>
                <w:rFonts w:eastAsia="Times New Roman" w:cs="Times New Roman"/>
                <w:b/>
                <w:szCs w:val="24"/>
                <w:u w:val="single"/>
                <w:lang w:eastAsia="fr-FR"/>
              </w:rPr>
            </w:pPr>
            <w:r>
              <w:rPr>
                <w:rFonts w:eastAsia="Times New Roman" w:cs="Times New Roman"/>
                <w:b/>
                <w:szCs w:val="24"/>
                <w:u w:val="single"/>
                <w:lang w:eastAsia="fr-FR"/>
              </w:rPr>
              <w:t>Conditions particulières à la prise en charge spécialisée des affections des brûlés</w:t>
            </w:r>
          </w:p>
        </w:tc>
      </w:tr>
      <w:tr w:rsidR="009F1F98" w:rsidTr="00B734C0">
        <w:tc>
          <w:tcPr>
            <w:tcW w:w="2431" w:type="dxa"/>
          </w:tcPr>
          <w:p w:rsidR="009F1F98" w:rsidRDefault="009F1F98" w:rsidP="00953242">
            <w:pPr>
              <w:rPr>
                <w:b/>
              </w:rPr>
            </w:pPr>
            <w:r>
              <w:rPr>
                <w:b/>
              </w:rPr>
              <w:t>D. 6124-177-42</w:t>
            </w:r>
          </w:p>
        </w:tc>
        <w:tc>
          <w:tcPr>
            <w:tcW w:w="6631" w:type="dxa"/>
          </w:tcPr>
          <w:p w:rsidR="009F1F98" w:rsidRPr="00AA00FC" w:rsidRDefault="009F1F98" w:rsidP="00953242">
            <w:pPr>
              <w:spacing w:before="100" w:beforeAutospacing="1" w:after="100" w:afterAutospacing="1"/>
              <w:rPr>
                <w:rFonts w:eastAsia="Times New Roman" w:cs="Times New Roman"/>
                <w:szCs w:val="24"/>
                <w:lang w:eastAsia="fr-FR"/>
              </w:rPr>
            </w:pPr>
            <w:r>
              <w:t xml:space="preserve">Le titulaire de l'autorisation passe convention avec un ou plusieurs établissements de santé autorisés à exercer l'activité de soins de traitement des grands brûlés mentionnée au 9° de </w:t>
            </w:r>
            <w:r w:rsidRPr="00E91E84">
              <w:t>l'article R. 6122-25</w:t>
            </w:r>
            <w:r>
              <w:t>. Cette convention précise les modalités de transfert des patients lorsque leur état de santé le nécessite, ainsi que les modalités de coopération entre les équipes médicales et paramédicales.</w:t>
            </w:r>
          </w:p>
        </w:tc>
      </w:tr>
      <w:tr w:rsidR="009F1F98" w:rsidTr="00B734C0">
        <w:tc>
          <w:tcPr>
            <w:tcW w:w="2431" w:type="dxa"/>
          </w:tcPr>
          <w:p w:rsidR="009F1F98" w:rsidRDefault="009F1F98" w:rsidP="00953242">
            <w:pPr>
              <w:rPr>
                <w:b/>
              </w:rPr>
            </w:pPr>
            <w:r>
              <w:rPr>
                <w:b/>
              </w:rPr>
              <w:t>D. 6124-177-44</w:t>
            </w:r>
          </w:p>
        </w:tc>
        <w:tc>
          <w:tcPr>
            <w:tcW w:w="6631" w:type="dxa"/>
          </w:tcPr>
          <w:p w:rsidR="009F1F98" w:rsidRDefault="009F1F98" w:rsidP="00953242">
            <w:pPr>
              <w:spacing w:before="100" w:beforeAutospacing="1" w:after="100" w:afterAutospacing="1"/>
            </w:pPr>
            <w:r>
              <w:t xml:space="preserve">(…) Le titulaire de l'autorisation dispose, le cas échéant par voie de convention avec un autre établissement de santé ou groupement </w:t>
            </w:r>
            <w:r>
              <w:lastRenderedPageBreak/>
              <w:t>de coopération sanitaire, de l'accès à un atelier d'ajustement d'aides techniques, à un atelier d'appareillage et de confection de prothèses et d'un laboratoire d'analyse du mouvement.</w:t>
            </w:r>
          </w:p>
        </w:tc>
      </w:tr>
      <w:tr w:rsidR="009F1F98" w:rsidRPr="007C1CE7" w:rsidTr="00B734C0">
        <w:tc>
          <w:tcPr>
            <w:tcW w:w="9062" w:type="dxa"/>
            <w:gridSpan w:val="2"/>
            <w:shd w:val="clear" w:color="auto" w:fill="DEEAF6" w:themeFill="accent1" w:themeFillTint="33"/>
          </w:tcPr>
          <w:p w:rsidR="009F1F98" w:rsidRPr="007C1CE7" w:rsidRDefault="009F1F98" w:rsidP="00953242">
            <w:pPr>
              <w:spacing w:before="100" w:beforeAutospacing="1" w:after="100" w:afterAutospacing="1"/>
              <w:jc w:val="center"/>
              <w:rPr>
                <w:b/>
                <w:u w:val="single"/>
              </w:rPr>
            </w:pPr>
            <w:r>
              <w:rPr>
                <w:b/>
                <w:u w:val="single"/>
              </w:rPr>
              <w:lastRenderedPageBreak/>
              <w:t xml:space="preserve">Conditions particulières à la prise en charge spécialisée des affections de la personne âgée </w:t>
            </w:r>
            <w:proofErr w:type="spellStart"/>
            <w:r>
              <w:rPr>
                <w:b/>
                <w:u w:val="single"/>
              </w:rPr>
              <w:t>polypathologique</w:t>
            </w:r>
            <w:proofErr w:type="spellEnd"/>
            <w:r>
              <w:rPr>
                <w:b/>
                <w:u w:val="single"/>
              </w:rPr>
              <w:t>, dépendante ou à risque de dépendance</w:t>
            </w:r>
          </w:p>
        </w:tc>
      </w:tr>
      <w:tr w:rsidR="009F1F98" w:rsidTr="00B734C0">
        <w:tc>
          <w:tcPr>
            <w:tcW w:w="2431" w:type="dxa"/>
          </w:tcPr>
          <w:p w:rsidR="009F1F98" w:rsidRDefault="009F1F98" w:rsidP="00953242">
            <w:pPr>
              <w:rPr>
                <w:b/>
              </w:rPr>
            </w:pPr>
            <w:r>
              <w:rPr>
                <w:b/>
              </w:rPr>
              <w:t>D. 6124-177-52</w:t>
            </w:r>
          </w:p>
        </w:tc>
        <w:tc>
          <w:tcPr>
            <w:tcW w:w="6631" w:type="dxa"/>
          </w:tcPr>
          <w:p w:rsidR="009F1F98" w:rsidRDefault="009F1F98" w:rsidP="00953242">
            <w:pPr>
              <w:spacing w:before="100" w:beforeAutospacing="1" w:after="100" w:afterAutospacing="1"/>
            </w:pPr>
            <w:r>
              <w:t>Le titulaire de l'autorisation organise, le cas échéant par voie de convention avec un autre établissement de santé ou groupement de coopération sanitaire, l'accès des patients à des plateaux techniques d'exploration et de rééducation spécialisés.</w:t>
            </w:r>
          </w:p>
        </w:tc>
      </w:tr>
      <w:tr w:rsidR="00B734C0" w:rsidTr="00B734C0">
        <w:tc>
          <w:tcPr>
            <w:tcW w:w="9062" w:type="dxa"/>
            <w:gridSpan w:val="2"/>
            <w:shd w:val="clear" w:color="auto" w:fill="DEEAF6" w:themeFill="accent1" w:themeFillTint="33"/>
          </w:tcPr>
          <w:p w:rsidR="00B734C0" w:rsidRPr="00B734C0" w:rsidRDefault="00B734C0" w:rsidP="00B734C0">
            <w:pPr>
              <w:spacing w:before="100" w:beforeAutospacing="1" w:after="100" w:afterAutospacing="1"/>
              <w:jc w:val="center"/>
              <w:rPr>
                <w:b/>
                <w:u w:val="single"/>
              </w:rPr>
            </w:pPr>
            <w:r>
              <w:rPr>
                <w:b/>
                <w:u w:val="single"/>
              </w:rPr>
              <w:t>Structures de soins alternatives à l’hospitalisation</w:t>
            </w:r>
          </w:p>
        </w:tc>
      </w:tr>
      <w:tr w:rsidR="00B734C0" w:rsidTr="00B734C0">
        <w:tc>
          <w:tcPr>
            <w:tcW w:w="2431" w:type="dxa"/>
          </w:tcPr>
          <w:p w:rsidR="00B734C0" w:rsidRDefault="00B734C0" w:rsidP="00953242">
            <w:pPr>
              <w:rPr>
                <w:b/>
              </w:rPr>
            </w:pPr>
            <w:r>
              <w:rPr>
                <w:b/>
              </w:rPr>
              <w:t>D. 6124-304</w:t>
            </w:r>
          </w:p>
        </w:tc>
        <w:tc>
          <w:tcPr>
            <w:tcW w:w="6631" w:type="dxa"/>
          </w:tcPr>
          <w:p w:rsidR="00B734C0" w:rsidRDefault="00B734C0" w:rsidP="00953242">
            <w:pPr>
              <w:spacing w:before="100" w:beforeAutospacing="1" w:after="100" w:afterAutospacing="1"/>
            </w:pPr>
            <w:r>
              <w:t>(…) Dans le cas où la structure ne serait pas en mesure d'assurer elle-même la continuité des soins, elle est tenue de conclure une convention avec un autre établissement de santé public ou privé disposant de moyens de réanimation et accueillant en permanence des patients relevant de la ou des disciplines pratiquées par la structure. Cette convention définit notamment les conditions dans lesquelles les patients relevant de la structure, en cas de besoin, sont soit transférés dans l'autre établissement, soit orientés vers celui-ci, après sortie. (…)</w:t>
            </w:r>
          </w:p>
        </w:tc>
      </w:tr>
    </w:tbl>
    <w:p w:rsidR="00CA011E" w:rsidRDefault="00CA011E" w:rsidP="00CA011E">
      <w:pPr>
        <w:jc w:val="both"/>
        <w:rPr>
          <w:b/>
          <w:sz w:val="28"/>
          <w:szCs w:val="28"/>
        </w:rPr>
      </w:pPr>
    </w:p>
    <w:sectPr w:rsidR="00CA01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DA" w:rsidRDefault="00E968DA" w:rsidP="00A34CB3">
      <w:pPr>
        <w:spacing w:after="0" w:line="240" w:lineRule="auto"/>
      </w:pPr>
      <w:r>
        <w:separator/>
      </w:r>
    </w:p>
  </w:endnote>
  <w:endnote w:type="continuationSeparator" w:id="0">
    <w:p w:rsidR="00E968DA" w:rsidRDefault="00E968DA" w:rsidP="00A3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468320"/>
      <w:docPartObj>
        <w:docPartGallery w:val="Page Numbers (Bottom of Page)"/>
        <w:docPartUnique/>
      </w:docPartObj>
    </w:sdtPr>
    <w:sdtEndPr/>
    <w:sdtContent>
      <w:p w:rsidR="00A34CB3" w:rsidRDefault="00A34CB3">
        <w:pPr>
          <w:pStyle w:val="Pieddepage"/>
          <w:jc w:val="center"/>
        </w:pPr>
        <w:r>
          <w:fldChar w:fldCharType="begin"/>
        </w:r>
        <w:r>
          <w:instrText>PAGE   \* MERGEFORMAT</w:instrText>
        </w:r>
        <w:r>
          <w:fldChar w:fldCharType="separate"/>
        </w:r>
        <w:r w:rsidR="00B576A3">
          <w:rPr>
            <w:noProof/>
          </w:rPr>
          <w:t>10</w:t>
        </w:r>
        <w:r>
          <w:fldChar w:fldCharType="end"/>
        </w:r>
      </w:p>
    </w:sdtContent>
  </w:sdt>
  <w:p w:rsidR="00A34CB3" w:rsidRDefault="00A34C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DA" w:rsidRDefault="00E968DA" w:rsidP="00A34CB3">
      <w:pPr>
        <w:spacing w:after="0" w:line="240" w:lineRule="auto"/>
      </w:pPr>
      <w:r>
        <w:separator/>
      </w:r>
    </w:p>
  </w:footnote>
  <w:footnote w:type="continuationSeparator" w:id="0">
    <w:p w:rsidR="00E968DA" w:rsidRDefault="00E968DA" w:rsidP="00A34CB3">
      <w:pPr>
        <w:spacing w:after="0" w:line="240" w:lineRule="auto"/>
      </w:pPr>
      <w:r>
        <w:continuationSeparator/>
      </w:r>
    </w:p>
  </w:footnote>
  <w:footnote w:id="1">
    <w:p w:rsidR="00B4116A" w:rsidRPr="007453DE" w:rsidRDefault="00B4116A">
      <w:pPr>
        <w:pStyle w:val="Notedebasdepage"/>
      </w:pPr>
      <w:r w:rsidRPr="007453DE">
        <w:rPr>
          <w:rStyle w:val="Appelnotedebasdep"/>
        </w:rPr>
        <w:footnoteRef/>
      </w:r>
      <w:r w:rsidRPr="007453DE">
        <w:t xml:space="preserve"> La citation des dispositions est indicative ; elle a vocation à disparaitre mais elle permet d’indiquer aux établissements les conventions qui devront figurer en annexe de la présente convention.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1FB"/>
    <w:multiLevelType w:val="hybridMultilevel"/>
    <w:tmpl w:val="A3489824"/>
    <w:lvl w:ilvl="0" w:tplc="3342BDB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43759"/>
    <w:multiLevelType w:val="hybridMultilevel"/>
    <w:tmpl w:val="1C6CB9B6"/>
    <w:lvl w:ilvl="0" w:tplc="8C66A19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2E53B2"/>
    <w:multiLevelType w:val="hybridMultilevel"/>
    <w:tmpl w:val="68E45D36"/>
    <w:lvl w:ilvl="0" w:tplc="DBD2A34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B8"/>
    <w:rsid w:val="00006BCE"/>
    <w:rsid w:val="000207B8"/>
    <w:rsid w:val="00020D8F"/>
    <w:rsid w:val="00025994"/>
    <w:rsid w:val="000428ED"/>
    <w:rsid w:val="00056857"/>
    <w:rsid w:val="00064E79"/>
    <w:rsid w:val="0007527D"/>
    <w:rsid w:val="000853E5"/>
    <w:rsid w:val="00085431"/>
    <w:rsid w:val="00095EAA"/>
    <w:rsid w:val="000D1C64"/>
    <w:rsid w:val="000D1ED7"/>
    <w:rsid w:val="000E0170"/>
    <w:rsid w:val="000F3B1C"/>
    <w:rsid w:val="000F7210"/>
    <w:rsid w:val="00166C24"/>
    <w:rsid w:val="00183999"/>
    <w:rsid w:val="001A24B7"/>
    <w:rsid w:val="001B7453"/>
    <w:rsid w:val="001F75E9"/>
    <w:rsid w:val="00212B0D"/>
    <w:rsid w:val="002210BA"/>
    <w:rsid w:val="002321CF"/>
    <w:rsid w:val="00250683"/>
    <w:rsid w:val="00262949"/>
    <w:rsid w:val="0028727C"/>
    <w:rsid w:val="002F0845"/>
    <w:rsid w:val="002F3BCC"/>
    <w:rsid w:val="00350DAF"/>
    <w:rsid w:val="00371C42"/>
    <w:rsid w:val="00377150"/>
    <w:rsid w:val="00395F5C"/>
    <w:rsid w:val="003C3881"/>
    <w:rsid w:val="003C580F"/>
    <w:rsid w:val="003E0EE8"/>
    <w:rsid w:val="003E6A63"/>
    <w:rsid w:val="004030F1"/>
    <w:rsid w:val="0041148A"/>
    <w:rsid w:val="00425A61"/>
    <w:rsid w:val="00436E17"/>
    <w:rsid w:val="004728F4"/>
    <w:rsid w:val="00484C3B"/>
    <w:rsid w:val="004855C0"/>
    <w:rsid w:val="004B0EB4"/>
    <w:rsid w:val="004C7EB8"/>
    <w:rsid w:val="004E0A28"/>
    <w:rsid w:val="004F042B"/>
    <w:rsid w:val="0050458F"/>
    <w:rsid w:val="00517A0D"/>
    <w:rsid w:val="0053214D"/>
    <w:rsid w:val="00576844"/>
    <w:rsid w:val="005827E2"/>
    <w:rsid w:val="005925A7"/>
    <w:rsid w:val="005A134C"/>
    <w:rsid w:val="005D04BC"/>
    <w:rsid w:val="005D254B"/>
    <w:rsid w:val="005E0FD1"/>
    <w:rsid w:val="00674AFC"/>
    <w:rsid w:val="006C4A7E"/>
    <w:rsid w:val="00700153"/>
    <w:rsid w:val="00702DCA"/>
    <w:rsid w:val="007453DE"/>
    <w:rsid w:val="00787172"/>
    <w:rsid w:val="007B31F3"/>
    <w:rsid w:val="007D0732"/>
    <w:rsid w:val="007E58BD"/>
    <w:rsid w:val="0080577F"/>
    <w:rsid w:val="008066B0"/>
    <w:rsid w:val="00860F54"/>
    <w:rsid w:val="00887896"/>
    <w:rsid w:val="008B36E3"/>
    <w:rsid w:val="008B470F"/>
    <w:rsid w:val="008B666A"/>
    <w:rsid w:val="008F7377"/>
    <w:rsid w:val="00927EBD"/>
    <w:rsid w:val="00943104"/>
    <w:rsid w:val="00954B13"/>
    <w:rsid w:val="00966092"/>
    <w:rsid w:val="0098497B"/>
    <w:rsid w:val="009A46AF"/>
    <w:rsid w:val="009F0163"/>
    <w:rsid w:val="009F1F98"/>
    <w:rsid w:val="009F581C"/>
    <w:rsid w:val="009F7CB9"/>
    <w:rsid w:val="00A24E96"/>
    <w:rsid w:val="00A34CB3"/>
    <w:rsid w:val="00AB74F5"/>
    <w:rsid w:val="00AD5A20"/>
    <w:rsid w:val="00AE61F9"/>
    <w:rsid w:val="00AF7B4A"/>
    <w:rsid w:val="00B35331"/>
    <w:rsid w:val="00B4116A"/>
    <w:rsid w:val="00B434F3"/>
    <w:rsid w:val="00B576A3"/>
    <w:rsid w:val="00B662C6"/>
    <w:rsid w:val="00B734C0"/>
    <w:rsid w:val="00B8167A"/>
    <w:rsid w:val="00B977D3"/>
    <w:rsid w:val="00BA23D4"/>
    <w:rsid w:val="00BB7A2F"/>
    <w:rsid w:val="00BC33FA"/>
    <w:rsid w:val="00BC56C8"/>
    <w:rsid w:val="00BF16C6"/>
    <w:rsid w:val="00BF7475"/>
    <w:rsid w:val="00C02557"/>
    <w:rsid w:val="00C17BD3"/>
    <w:rsid w:val="00C274EB"/>
    <w:rsid w:val="00C463B9"/>
    <w:rsid w:val="00C905E8"/>
    <w:rsid w:val="00CA011E"/>
    <w:rsid w:val="00CC018B"/>
    <w:rsid w:val="00CC5809"/>
    <w:rsid w:val="00CC6532"/>
    <w:rsid w:val="00CD227D"/>
    <w:rsid w:val="00CD31CA"/>
    <w:rsid w:val="00CD6913"/>
    <w:rsid w:val="00D0471C"/>
    <w:rsid w:val="00D659E4"/>
    <w:rsid w:val="00DA00AF"/>
    <w:rsid w:val="00DB6FA6"/>
    <w:rsid w:val="00DD5FF3"/>
    <w:rsid w:val="00DE3D31"/>
    <w:rsid w:val="00E06D58"/>
    <w:rsid w:val="00E33598"/>
    <w:rsid w:val="00E35795"/>
    <w:rsid w:val="00E5009F"/>
    <w:rsid w:val="00E67620"/>
    <w:rsid w:val="00E766BA"/>
    <w:rsid w:val="00E8244F"/>
    <w:rsid w:val="00E90F3C"/>
    <w:rsid w:val="00E968DA"/>
    <w:rsid w:val="00EF0F1A"/>
    <w:rsid w:val="00EF43CE"/>
    <w:rsid w:val="00F66975"/>
    <w:rsid w:val="00F96A68"/>
    <w:rsid w:val="00FB6986"/>
    <w:rsid w:val="00FC0725"/>
    <w:rsid w:val="00FE23FE"/>
    <w:rsid w:val="00FF4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6F974-14A0-461D-B2C7-31B1F76F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E3"/>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3999"/>
    <w:pPr>
      <w:ind w:left="720"/>
      <w:contextualSpacing/>
    </w:pPr>
  </w:style>
  <w:style w:type="paragraph" w:styleId="En-tte">
    <w:name w:val="header"/>
    <w:basedOn w:val="Normal"/>
    <w:link w:val="En-tteCar"/>
    <w:uiPriority w:val="99"/>
    <w:unhideWhenUsed/>
    <w:rsid w:val="00A34CB3"/>
    <w:pPr>
      <w:tabs>
        <w:tab w:val="center" w:pos="4536"/>
        <w:tab w:val="right" w:pos="9072"/>
      </w:tabs>
      <w:spacing w:after="0" w:line="240" w:lineRule="auto"/>
    </w:pPr>
  </w:style>
  <w:style w:type="character" w:customStyle="1" w:styleId="En-tteCar">
    <w:name w:val="En-tête Car"/>
    <w:basedOn w:val="Policepardfaut"/>
    <w:link w:val="En-tte"/>
    <w:uiPriority w:val="99"/>
    <w:rsid w:val="00A34CB3"/>
    <w:rPr>
      <w:rFonts w:ascii="Times New Roman" w:hAnsi="Times New Roman"/>
      <w:sz w:val="24"/>
    </w:rPr>
  </w:style>
  <w:style w:type="paragraph" w:styleId="Pieddepage">
    <w:name w:val="footer"/>
    <w:basedOn w:val="Normal"/>
    <w:link w:val="PieddepageCar"/>
    <w:uiPriority w:val="99"/>
    <w:unhideWhenUsed/>
    <w:rsid w:val="00A34C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CB3"/>
    <w:rPr>
      <w:rFonts w:ascii="Times New Roman" w:hAnsi="Times New Roman"/>
      <w:sz w:val="24"/>
    </w:rPr>
  </w:style>
  <w:style w:type="paragraph" w:styleId="Textedebulles">
    <w:name w:val="Balloon Text"/>
    <w:basedOn w:val="Normal"/>
    <w:link w:val="TextedebullesCar"/>
    <w:uiPriority w:val="99"/>
    <w:semiHidden/>
    <w:unhideWhenUsed/>
    <w:rsid w:val="00020D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0D8F"/>
    <w:rPr>
      <w:rFonts w:ascii="Segoe UI" w:hAnsi="Segoe UI" w:cs="Segoe UI"/>
      <w:sz w:val="18"/>
      <w:szCs w:val="18"/>
    </w:rPr>
  </w:style>
  <w:style w:type="table" w:styleId="Grilledutableau">
    <w:name w:val="Table Grid"/>
    <w:basedOn w:val="TableauNormal"/>
    <w:uiPriority w:val="39"/>
    <w:rsid w:val="009F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411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116A"/>
    <w:rPr>
      <w:rFonts w:ascii="Times New Roman" w:hAnsi="Times New Roman"/>
      <w:sz w:val="20"/>
      <w:szCs w:val="20"/>
    </w:rPr>
  </w:style>
  <w:style w:type="character" w:styleId="Appelnotedebasdep">
    <w:name w:val="footnote reference"/>
    <w:basedOn w:val="Policepardfaut"/>
    <w:uiPriority w:val="99"/>
    <w:semiHidden/>
    <w:unhideWhenUsed/>
    <w:rsid w:val="00B41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0EB2-21C8-44C1-B802-2A063FDC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3588</Words>
  <Characters>19735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cormier_badin5</dc:creator>
  <cp:keywords/>
  <dc:description/>
  <cp:lastModifiedBy>FHP-SSR</cp:lastModifiedBy>
  <cp:revision>3</cp:revision>
  <cp:lastPrinted>2016-08-22T14:13:00Z</cp:lastPrinted>
  <dcterms:created xsi:type="dcterms:W3CDTF">2016-09-20T08:50:00Z</dcterms:created>
  <dcterms:modified xsi:type="dcterms:W3CDTF">2016-09-20T08:53:00Z</dcterms:modified>
</cp:coreProperties>
</file>