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10466"/>
      </w:tblGrid>
      <w:tr w:rsidR="008A4303" w:rsidTr="008A4303">
        <w:trPr>
          <w:tblCellSpacing w:w="0" w:type="dxa"/>
          <w:jc w:val="center"/>
        </w:trPr>
        <w:tc>
          <w:tcPr>
            <w:tcW w:w="0" w:type="auto"/>
            <w:hideMark/>
          </w:tcPr>
          <w:p w:rsidR="008A4303" w:rsidRDefault="008A4303">
            <w:pPr>
              <w:pStyle w:val="NormalWeb"/>
              <w:spacing w:before="0" w:beforeAutospacing="0" w:after="0" w:afterAutospacing="0"/>
              <w:jc w:val="center"/>
              <w:rPr>
                <w:rFonts w:ascii="Arial" w:hAnsi="Arial" w:cs="Arial"/>
                <w:sz w:val="17"/>
                <w:szCs w:val="17"/>
              </w:rPr>
            </w:pPr>
            <w:r>
              <w:rPr>
                <w:rFonts w:ascii="Arial" w:hAnsi="Arial" w:cs="Arial"/>
                <w:sz w:val="17"/>
                <w:szCs w:val="17"/>
              </w:rPr>
              <w:t xml:space="preserve">Si vous ne visualisez pas correctement ce message, </w:t>
            </w:r>
            <w:hyperlink r:id="rId5" w:tgtFrame="_blank" w:history="1">
              <w:r>
                <w:rPr>
                  <w:rStyle w:val="Lienhypertexte"/>
                  <w:rFonts w:ascii="Arial" w:hAnsi="Arial" w:cs="Arial"/>
                  <w:color w:val="333333"/>
                  <w:sz w:val="17"/>
                  <w:szCs w:val="17"/>
                </w:rPr>
                <w:t>cliquez-ici</w:t>
              </w:r>
            </w:hyperlink>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8A4303">
              <w:trPr>
                <w:tblCellSpacing w:w="0" w:type="dxa"/>
                <w:jc w:val="center"/>
              </w:trPr>
              <w:tc>
                <w:tcPr>
                  <w:tcW w:w="0" w:type="auto"/>
                  <w:shd w:val="clear" w:color="auto" w:fill="FFFFFF"/>
                  <w:vAlign w:val="center"/>
                </w:tcPr>
                <w:tbl>
                  <w:tblPr>
                    <w:tblW w:w="5000" w:type="pct"/>
                    <w:tblCellSpacing w:w="0" w:type="dxa"/>
                    <w:shd w:val="clear" w:color="auto" w:fill="3498DB"/>
                    <w:tblCellMar>
                      <w:left w:w="0" w:type="dxa"/>
                      <w:right w:w="0" w:type="dxa"/>
                    </w:tblCellMar>
                    <w:tblLook w:val="04A0" w:firstRow="1" w:lastRow="0" w:firstColumn="1" w:lastColumn="0" w:noHBand="0" w:noVBand="1"/>
                  </w:tblPr>
                  <w:tblGrid>
                    <w:gridCol w:w="300"/>
                    <w:gridCol w:w="6510"/>
                    <w:gridCol w:w="1890"/>
                    <w:gridCol w:w="300"/>
                  </w:tblGrid>
                  <w:tr w:rsidR="008A4303">
                    <w:trPr>
                      <w:trHeight w:val="600"/>
                      <w:tblCellSpacing w:w="0" w:type="dxa"/>
                    </w:trPr>
                    <w:tc>
                      <w:tcPr>
                        <w:tcW w:w="300" w:type="dxa"/>
                        <w:shd w:val="clear" w:color="auto" w:fill="3498DB"/>
                        <w:hideMark/>
                      </w:tcPr>
                      <w:p w:rsidR="008A4303" w:rsidRDefault="008A4303">
                        <w:pPr>
                          <w:rPr>
                            <w:rFonts w:ascii="Arial" w:hAnsi="Arial" w:cs="Arial"/>
                            <w:sz w:val="17"/>
                            <w:szCs w:val="17"/>
                          </w:rPr>
                        </w:pPr>
                      </w:p>
                    </w:tc>
                    <w:tc>
                      <w:tcPr>
                        <w:tcW w:w="0" w:type="auto"/>
                        <w:shd w:val="clear" w:color="auto" w:fill="3498DB"/>
                        <w:hideMark/>
                      </w:tcPr>
                      <w:p w:rsidR="008A4303" w:rsidRDefault="008A4303">
                        <w:pPr>
                          <w:rPr>
                            <w:rFonts w:eastAsia="Times New Roman"/>
                            <w:sz w:val="20"/>
                            <w:szCs w:val="20"/>
                          </w:rPr>
                        </w:pPr>
                      </w:p>
                    </w:tc>
                    <w:tc>
                      <w:tcPr>
                        <w:tcW w:w="1875" w:type="dxa"/>
                        <w:shd w:val="clear" w:color="auto" w:fill="3498DB"/>
                        <w:hideMark/>
                      </w:tcPr>
                      <w:p w:rsidR="008A4303" w:rsidRDefault="008A4303">
                        <w:pPr>
                          <w:rPr>
                            <w:rFonts w:eastAsia="Times New Roman"/>
                            <w:sz w:val="20"/>
                            <w:szCs w:val="20"/>
                          </w:rPr>
                        </w:pPr>
                      </w:p>
                    </w:tc>
                    <w:tc>
                      <w:tcPr>
                        <w:tcW w:w="300" w:type="dxa"/>
                        <w:shd w:val="clear" w:color="auto" w:fill="3498DB"/>
                        <w:hideMark/>
                      </w:tcPr>
                      <w:p w:rsidR="008A4303" w:rsidRDefault="008A4303">
                        <w:pPr>
                          <w:rPr>
                            <w:rFonts w:eastAsia="Times New Roman"/>
                            <w:sz w:val="20"/>
                            <w:szCs w:val="20"/>
                          </w:rPr>
                        </w:pPr>
                      </w:p>
                    </w:tc>
                  </w:tr>
                  <w:tr w:rsidR="008A4303">
                    <w:trPr>
                      <w:tblCellSpacing w:w="0" w:type="dxa"/>
                    </w:trPr>
                    <w:tc>
                      <w:tcPr>
                        <w:tcW w:w="0" w:type="auto"/>
                        <w:shd w:val="clear" w:color="auto" w:fill="3498DB"/>
                        <w:hideMark/>
                      </w:tcPr>
                      <w:p w:rsidR="008A4303" w:rsidRDefault="008A4303">
                        <w:pPr>
                          <w:rPr>
                            <w:rFonts w:eastAsia="Times New Roman"/>
                            <w:sz w:val="20"/>
                            <w:szCs w:val="20"/>
                          </w:rPr>
                        </w:pPr>
                      </w:p>
                    </w:tc>
                    <w:tc>
                      <w:tcPr>
                        <w:tcW w:w="0" w:type="auto"/>
                        <w:shd w:val="clear" w:color="auto" w:fill="3498DB"/>
                        <w:hideMark/>
                      </w:tcPr>
                      <w:p w:rsidR="008A4303" w:rsidRDefault="008A4303">
                        <w:pPr>
                          <w:spacing w:line="900" w:lineRule="atLeast"/>
                          <w:rPr>
                            <w:rFonts w:ascii="Arial" w:eastAsia="Times New Roman" w:hAnsi="Arial" w:cs="Arial"/>
                            <w:b/>
                            <w:bCs/>
                            <w:color w:val="FFFFFF"/>
                            <w:sz w:val="83"/>
                            <w:szCs w:val="83"/>
                          </w:rPr>
                        </w:pPr>
                        <w:r>
                          <w:rPr>
                            <w:rFonts w:ascii="Arial" w:eastAsia="Times New Roman" w:hAnsi="Arial" w:cs="Arial"/>
                            <w:b/>
                            <w:bCs/>
                            <w:noProof/>
                            <w:color w:val="FFFFFF"/>
                            <w:sz w:val="83"/>
                            <w:szCs w:val="83"/>
                          </w:rPr>
                          <w:drawing>
                            <wp:inline distT="0" distB="0" distL="0" distR="0">
                              <wp:extent cx="2886075" cy="1190625"/>
                              <wp:effectExtent l="0" t="0" r="9525" b="9525"/>
                              <wp:docPr id="5" name="Image 5" descr="Dépê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pêch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190625"/>
                                      </a:xfrm>
                                      <a:prstGeom prst="rect">
                                        <a:avLst/>
                                      </a:prstGeom>
                                      <a:noFill/>
                                      <a:ln>
                                        <a:noFill/>
                                      </a:ln>
                                    </pic:spPr>
                                  </pic:pic>
                                </a:graphicData>
                              </a:graphic>
                            </wp:inline>
                          </w:drawing>
                        </w:r>
                      </w:p>
                    </w:tc>
                    <w:tc>
                      <w:tcPr>
                        <w:tcW w:w="0" w:type="auto"/>
                        <w:shd w:val="clear" w:color="auto" w:fill="3498DB"/>
                        <w:hideMark/>
                      </w:tcPr>
                      <w:p w:rsidR="008A4303" w:rsidRDefault="008A4303">
                        <w:pPr>
                          <w:rPr>
                            <w:rFonts w:ascii="Arial" w:eastAsia="Times New Roman" w:hAnsi="Arial" w:cs="Arial"/>
                            <w:color w:val="FFFFFF"/>
                            <w:sz w:val="21"/>
                            <w:szCs w:val="21"/>
                          </w:rPr>
                        </w:pPr>
                        <w:r>
                          <w:rPr>
                            <w:rFonts w:ascii="Arial" w:eastAsia="Times New Roman" w:hAnsi="Arial" w:cs="Arial"/>
                            <w:noProof/>
                            <w:color w:val="FFFFFF"/>
                            <w:sz w:val="21"/>
                            <w:szCs w:val="21"/>
                          </w:rPr>
                          <w:drawing>
                            <wp:inline distT="0" distB="0" distL="0" distR="0">
                              <wp:extent cx="1190625" cy="1190625"/>
                              <wp:effectExtent l="0" t="0" r="9525" b="9525"/>
                              <wp:docPr id="4" name="Image 4" descr="Logo FHP-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HP-M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0" w:type="auto"/>
                        <w:shd w:val="clear" w:color="auto" w:fill="3498DB"/>
                        <w:hideMark/>
                      </w:tcPr>
                      <w:p w:rsidR="008A4303" w:rsidRDefault="008A4303">
                        <w:pPr>
                          <w:rPr>
                            <w:rFonts w:ascii="Arial" w:eastAsia="Times New Roman" w:hAnsi="Arial" w:cs="Arial"/>
                            <w:color w:val="FFFFFF"/>
                            <w:sz w:val="21"/>
                            <w:szCs w:val="21"/>
                          </w:rPr>
                        </w:pPr>
                      </w:p>
                    </w:tc>
                  </w:tr>
                  <w:tr w:rsidR="008A4303">
                    <w:trPr>
                      <w:tblCellSpacing w:w="0" w:type="dxa"/>
                    </w:trPr>
                    <w:tc>
                      <w:tcPr>
                        <w:tcW w:w="0" w:type="auto"/>
                        <w:shd w:val="clear" w:color="auto" w:fill="3498DB"/>
                        <w:hideMark/>
                      </w:tcPr>
                      <w:p w:rsidR="008A4303" w:rsidRDefault="008A4303">
                        <w:pPr>
                          <w:rPr>
                            <w:rFonts w:eastAsia="Times New Roman"/>
                            <w:sz w:val="20"/>
                            <w:szCs w:val="20"/>
                          </w:rPr>
                        </w:pPr>
                      </w:p>
                    </w:tc>
                    <w:tc>
                      <w:tcPr>
                        <w:tcW w:w="0" w:type="auto"/>
                        <w:shd w:val="clear" w:color="auto" w:fill="3498DB"/>
                        <w:hideMark/>
                      </w:tcPr>
                      <w:p w:rsidR="008A4303" w:rsidRDefault="008A4303">
                        <w:pPr>
                          <w:pStyle w:val="NormalWeb"/>
                          <w:spacing w:before="150" w:beforeAutospacing="0"/>
                          <w:rPr>
                            <w:rFonts w:ascii="Arial" w:hAnsi="Arial" w:cs="Arial"/>
                            <w:color w:val="FFFFFF"/>
                            <w:sz w:val="21"/>
                            <w:szCs w:val="21"/>
                          </w:rPr>
                        </w:pPr>
                        <w:r>
                          <w:rPr>
                            <w:rFonts w:ascii="Arial" w:hAnsi="Arial" w:cs="Arial"/>
                            <w:color w:val="FFFFFF"/>
                            <w:sz w:val="21"/>
                            <w:szCs w:val="21"/>
                          </w:rPr>
                          <w:t>N°257 du 30 juin 2016</w:t>
                        </w:r>
                      </w:p>
                    </w:tc>
                    <w:tc>
                      <w:tcPr>
                        <w:tcW w:w="0" w:type="auto"/>
                        <w:shd w:val="clear" w:color="auto" w:fill="3498DB"/>
                        <w:hideMark/>
                      </w:tcPr>
                      <w:p w:rsidR="008A4303" w:rsidRDefault="008A4303">
                        <w:pPr>
                          <w:rPr>
                            <w:rFonts w:ascii="Arial" w:hAnsi="Arial" w:cs="Arial"/>
                            <w:color w:val="FFFFFF"/>
                            <w:sz w:val="21"/>
                            <w:szCs w:val="21"/>
                          </w:rPr>
                        </w:pPr>
                      </w:p>
                    </w:tc>
                    <w:tc>
                      <w:tcPr>
                        <w:tcW w:w="0" w:type="auto"/>
                        <w:shd w:val="clear" w:color="auto" w:fill="3498DB"/>
                        <w:hideMark/>
                      </w:tcPr>
                      <w:p w:rsidR="008A4303" w:rsidRDefault="008A4303">
                        <w:pPr>
                          <w:rPr>
                            <w:rFonts w:eastAsia="Times New Roman"/>
                            <w:sz w:val="20"/>
                            <w:szCs w:val="20"/>
                          </w:rPr>
                        </w:pPr>
                      </w:p>
                    </w:tc>
                  </w:tr>
                  <w:tr w:rsidR="008A4303">
                    <w:trPr>
                      <w:trHeight w:val="150"/>
                      <w:tblCellSpacing w:w="0" w:type="dxa"/>
                    </w:trPr>
                    <w:tc>
                      <w:tcPr>
                        <w:tcW w:w="0" w:type="auto"/>
                        <w:shd w:val="clear" w:color="auto" w:fill="3498DB"/>
                        <w:hideMark/>
                      </w:tcPr>
                      <w:p w:rsidR="008A4303" w:rsidRDefault="008A4303">
                        <w:pPr>
                          <w:rPr>
                            <w:rFonts w:eastAsia="Times New Roman"/>
                            <w:sz w:val="20"/>
                            <w:szCs w:val="20"/>
                          </w:rPr>
                        </w:pPr>
                      </w:p>
                    </w:tc>
                    <w:tc>
                      <w:tcPr>
                        <w:tcW w:w="0" w:type="auto"/>
                        <w:shd w:val="clear" w:color="auto" w:fill="3498DB"/>
                        <w:hideMark/>
                      </w:tcPr>
                      <w:p w:rsidR="008A4303" w:rsidRDefault="008A4303">
                        <w:pPr>
                          <w:rPr>
                            <w:rFonts w:eastAsia="Times New Roman"/>
                            <w:sz w:val="20"/>
                            <w:szCs w:val="20"/>
                          </w:rPr>
                        </w:pPr>
                      </w:p>
                    </w:tc>
                    <w:tc>
                      <w:tcPr>
                        <w:tcW w:w="0" w:type="auto"/>
                        <w:shd w:val="clear" w:color="auto" w:fill="3498DB"/>
                        <w:hideMark/>
                      </w:tcPr>
                      <w:p w:rsidR="008A4303" w:rsidRDefault="008A4303">
                        <w:pPr>
                          <w:rPr>
                            <w:rFonts w:eastAsia="Times New Roman"/>
                            <w:sz w:val="20"/>
                            <w:szCs w:val="20"/>
                          </w:rPr>
                        </w:pPr>
                      </w:p>
                    </w:tc>
                    <w:tc>
                      <w:tcPr>
                        <w:tcW w:w="0" w:type="auto"/>
                        <w:shd w:val="clear" w:color="auto" w:fill="3498DB"/>
                        <w:hideMark/>
                      </w:tcPr>
                      <w:p w:rsidR="008A4303" w:rsidRDefault="008A4303">
                        <w:pPr>
                          <w:rPr>
                            <w:rFonts w:eastAsia="Times New Roman"/>
                            <w:sz w:val="20"/>
                            <w:szCs w:val="20"/>
                          </w:rPr>
                        </w:pPr>
                      </w:p>
                    </w:tc>
                  </w:tr>
                  <w:tr w:rsidR="008A4303">
                    <w:trPr>
                      <w:trHeight w:val="75"/>
                      <w:tblCellSpacing w:w="0" w:type="dxa"/>
                    </w:trPr>
                    <w:tc>
                      <w:tcPr>
                        <w:tcW w:w="0" w:type="auto"/>
                        <w:shd w:val="clear" w:color="auto" w:fill="207FBE"/>
                        <w:hideMark/>
                      </w:tcPr>
                      <w:p w:rsidR="008A4303" w:rsidRDefault="008A4303">
                        <w:pPr>
                          <w:rPr>
                            <w:rFonts w:eastAsia="Times New Roman"/>
                            <w:sz w:val="20"/>
                            <w:szCs w:val="20"/>
                          </w:rPr>
                        </w:pPr>
                      </w:p>
                    </w:tc>
                    <w:tc>
                      <w:tcPr>
                        <w:tcW w:w="0" w:type="auto"/>
                        <w:shd w:val="clear" w:color="auto" w:fill="207FBE"/>
                        <w:hideMark/>
                      </w:tcPr>
                      <w:p w:rsidR="008A4303" w:rsidRDefault="008A4303">
                        <w:pPr>
                          <w:rPr>
                            <w:rFonts w:eastAsia="Times New Roman"/>
                            <w:sz w:val="20"/>
                            <w:szCs w:val="20"/>
                          </w:rPr>
                        </w:pPr>
                      </w:p>
                    </w:tc>
                    <w:tc>
                      <w:tcPr>
                        <w:tcW w:w="0" w:type="auto"/>
                        <w:shd w:val="clear" w:color="auto" w:fill="207FBE"/>
                        <w:hideMark/>
                      </w:tcPr>
                      <w:p w:rsidR="008A4303" w:rsidRDefault="008A4303">
                        <w:pPr>
                          <w:rPr>
                            <w:rFonts w:eastAsia="Times New Roman"/>
                            <w:sz w:val="20"/>
                            <w:szCs w:val="20"/>
                          </w:rPr>
                        </w:pPr>
                      </w:p>
                    </w:tc>
                    <w:tc>
                      <w:tcPr>
                        <w:tcW w:w="0" w:type="auto"/>
                        <w:shd w:val="clear" w:color="auto" w:fill="207FBE"/>
                        <w:hideMark/>
                      </w:tcPr>
                      <w:p w:rsidR="008A4303" w:rsidRDefault="008A4303">
                        <w:pPr>
                          <w:rPr>
                            <w:rFonts w:eastAsia="Times New Roman"/>
                            <w:sz w:val="20"/>
                            <w:szCs w:val="20"/>
                          </w:rPr>
                        </w:pPr>
                      </w:p>
                    </w:tc>
                  </w:tr>
                </w:tbl>
                <w:p w:rsidR="008A4303" w:rsidRDefault="008A4303">
                  <w:pPr>
                    <w:rPr>
                      <w:rFonts w:eastAsia="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8A4303">
                    <w:trPr>
                      <w:tblCellSpacing w:w="0" w:type="dxa"/>
                    </w:trPr>
                    <w:tc>
                      <w:tcPr>
                        <w:tcW w:w="0" w:type="auto"/>
                        <w:shd w:val="clear" w:color="auto" w:fill="FFFFFF"/>
                        <w:vAlign w:val="center"/>
                        <w:hideMark/>
                      </w:tcPr>
                      <w:p w:rsidR="008A4303" w:rsidRDefault="008A4303">
                        <w:pPr>
                          <w:pStyle w:val="NormalWeb"/>
                          <w:spacing w:before="225" w:beforeAutospacing="0" w:after="225" w:afterAutospacing="0"/>
                          <w:ind w:left="300"/>
                          <w:rPr>
                            <w:rFonts w:ascii="Arial" w:hAnsi="Arial" w:cs="Arial"/>
                            <w:sz w:val="21"/>
                            <w:szCs w:val="21"/>
                          </w:rPr>
                        </w:pPr>
                        <w:r>
                          <w:rPr>
                            <w:rStyle w:val="lev"/>
                            <w:rFonts w:ascii="Arial" w:hAnsi="Arial" w:cs="Arial"/>
                            <w:sz w:val="21"/>
                            <w:szCs w:val="21"/>
                          </w:rPr>
                          <w:t>Financement / Tarification</w:t>
                        </w:r>
                      </w:p>
                      <w:p w:rsidR="008A4303" w:rsidRDefault="008A4303">
                        <w:pPr>
                          <w:pStyle w:val="NormalWeb"/>
                          <w:spacing w:before="0" w:beforeAutospacing="0" w:after="150" w:afterAutospacing="0"/>
                          <w:rPr>
                            <w:rFonts w:ascii="Arial" w:hAnsi="Arial" w:cs="Arial"/>
                            <w:sz w:val="21"/>
                            <w:szCs w:val="21"/>
                          </w:rPr>
                        </w:pPr>
                        <w:r>
                          <w:rPr>
                            <w:rFonts w:ascii="Arial" w:hAnsi="Arial" w:cs="Arial"/>
                            <w:noProof/>
                            <w:sz w:val="21"/>
                            <w:szCs w:val="21"/>
                          </w:rPr>
                          <w:drawing>
                            <wp:inline distT="0" distB="0" distL="0" distR="0">
                              <wp:extent cx="5715000" cy="9525"/>
                              <wp:effectExtent l="0" t="0" r="0" b="9525"/>
                              <wp:docPr id="3" name="Image 3" descr="https://gallery.mailchimp.com/2a4e107bdb889257de64b14d0/images/2d6858a5-f1be-4e1a-93f8-a8572ad98c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2a4e107bdb889257de64b14d0/images/2d6858a5-f1be-4e1a-93f8-a8572ad98c3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a:ln>
                                        <a:noFill/>
                                      </a:ln>
                                    </pic:spPr>
                                  </pic:pic>
                                </a:graphicData>
                              </a:graphic>
                            </wp:inline>
                          </w:drawing>
                        </w:r>
                      </w:p>
                    </w:tc>
                  </w:tr>
                </w:tbl>
                <w:p w:rsidR="008A4303" w:rsidRDefault="008A4303">
                  <w:pPr>
                    <w:pStyle w:val="NormalWeb"/>
                    <w:spacing w:before="0" w:beforeAutospacing="0" w:after="0" w:afterAutospacing="0"/>
                  </w:pPr>
                  <w: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
                    <w:gridCol w:w="8400"/>
                    <w:gridCol w:w="300"/>
                  </w:tblGrid>
                  <w:tr w:rsidR="008A4303">
                    <w:trPr>
                      <w:tblCellSpacing w:w="0" w:type="dxa"/>
                    </w:trPr>
                    <w:tc>
                      <w:tcPr>
                        <w:tcW w:w="300" w:type="dxa"/>
                        <w:shd w:val="clear" w:color="auto" w:fill="FFFFFF"/>
                        <w:hideMark/>
                      </w:tcPr>
                      <w:p w:rsidR="008A4303" w:rsidRDefault="008A4303"/>
                    </w:tc>
                    <w:tc>
                      <w:tcPr>
                        <w:tcW w:w="0" w:type="auto"/>
                        <w:shd w:val="clear" w:color="auto" w:fill="FFFFFF"/>
                        <w:hideMark/>
                      </w:tcPr>
                      <w:p w:rsidR="008A4303" w:rsidRDefault="008A4303">
                        <w:pPr>
                          <w:pStyle w:val="Titre1"/>
                          <w:spacing w:before="0" w:beforeAutospacing="0" w:after="0" w:afterAutospacing="0"/>
                          <w:jc w:val="center"/>
                          <w:rPr>
                            <w:rFonts w:ascii="Arial" w:eastAsia="Times New Roman" w:hAnsi="Arial" w:cs="Arial"/>
                            <w:color w:val="3498DB"/>
                            <w:sz w:val="30"/>
                            <w:szCs w:val="30"/>
                          </w:rPr>
                        </w:pPr>
                        <w:r>
                          <w:rPr>
                            <w:rFonts w:ascii="Arial" w:eastAsia="Times New Roman" w:hAnsi="Arial" w:cs="Arial"/>
                            <w:color w:val="3498DB"/>
                            <w:sz w:val="30"/>
                            <w:szCs w:val="30"/>
                          </w:rPr>
                          <w:t>INSTRUCTION N° DGOS/R4/R3/2016/185 du 6 juin 2016 relative au dispositif de sortie précoce de chirurgie par mobilisation de l’hospitalisation à domicile &amp;</w:t>
                        </w:r>
                        <w:r>
                          <w:rPr>
                            <w:rFonts w:ascii="Arial" w:eastAsia="Times New Roman" w:hAnsi="Arial" w:cs="Arial"/>
                            <w:color w:val="3498DB"/>
                            <w:sz w:val="30"/>
                            <w:szCs w:val="30"/>
                          </w:rPr>
                          <w:br/>
                          <w:t>Rappel de la position du Conseil d’Administration</w:t>
                        </w:r>
                        <w:r>
                          <w:rPr>
                            <w:rFonts w:ascii="Arial" w:eastAsia="Times New Roman" w:hAnsi="Arial" w:cs="Arial"/>
                            <w:color w:val="3498DB"/>
                            <w:sz w:val="30"/>
                            <w:szCs w:val="30"/>
                          </w:rPr>
                          <w:br/>
                          <w:t>FHP-MCO : « L’HAD Post Chirurgie »</w:t>
                        </w:r>
                      </w:p>
                      <w:p w:rsidR="008A4303" w:rsidRDefault="008A4303">
                        <w:pPr>
                          <w:pStyle w:val="NormalWeb"/>
                          <w:spacing w:before="0" w:beforeAutospacing="0" w:after="0" w:afterAutospacing="0"/>
                          <w:rPr>
                            <w:rFonts w:ascii="Arial" w:hAnsi="Arial" w:cs="Arial"/>
                            <w:color w:val="333333"/>
                            <w:sz w:val="21"/>
                            <w:szCs w:val="21"/>
                          </w:rPr>
                        </w:pPr>
                        <w:r>
                          <w:rPr>
                            <w:rFonts w:ascii="Arial" w:hAnsi="Arial" w:cs="Arial"/>
                            <w:color w:val="333333"/>
                            <w:sz w:val="21"/>
                            <w:szCs w:val="21"/>
                          </w:rPr>
                          <w:t> </w:t>
                        </w:r>
                      </w:p>
                      <w:tbl>
                        <w:tblPr>
                          <w:tblW w:w="5000" w:type="pct"/>
                          <w:tblCellSpacing w:w="0" w:type="dxa"/>
                          <w:shd w:val="clear" w:color="auto" w:fill="C9E9FF"/>
                          <w:tblCellMar>
                            <w:left w:w="0" w:type="dxa"/>
                            <w:right w:w="0" w:type="dxa"/>
                          </w:tblCellMar>
                          <w:tblLook w:val="04A0" w:firstRow="1" w:lastRow="0" w:firstColumn="1" w:lastColumn="0" w:noHBand="0" w:noVBand="1"/>
                        </w:tblPr>
                        <w:tblGrid>
                          <w:gridCol w:w="225"/>
                          <w:gridCol w:w="7950"/>
                          <w:gridCol w:w="225"/>
                        </w:tblGrid>
                        <w:tr w:rsidR="008A4303">
                          <w:trPr>
                            <w:trHeight w:val="225"/>
                            <w:tblCellSpacing w:w="0" w:type="dxa"/>
                          </w:trPr>
                          <w:tc>
                            <w:tcPr>
                              <w:tcW w:w="0" w:type="auto"/>
                              <w:gridSpan w:val="3"/>
                              <w:shd w:val="clear" w:color="auto" w:fill="C9E9FF"/>
                              <w:vAlign w:val="center"/>
                              <w:hideMark/>
                            </w:tcPr>
                            <w:p w:rsidR="008A4303" w:rsidRDefault="008A4303">
                              <w:pPr>
                                <w:rPr>
                                  <w:rFonts w:ascii="Arial" w:hAnsi="Arial" w:cs="Arial"/>
                                  <w:color w:val="333333"/>
                                  <w:sz w:val="21"/>
                                  <w:szCs w:val="21"/>
                                </w:rPr>
                              </w:pPr>
                            </w:p>
                          </w:tc>
                        </w:tr>
                        <w:tr w:rsidR="008A4303">
                          <w:trPr>
                            <w:tblCellSpacing w:w="0" w:type="dxa"/>
                          </w:trPr>
                          <w:tc>
                            <w:tcPr>
                              <w:tcW w:w="225" w:type="dxa"/>
                              <w:shd w:val="clear" w:color="auto" w:fill="C9E9FF"/>
                              <w:hideMark/>
                            </w:tcPr>
                            <w:p w:rsidR="008A4303" w:rsidRDefault="008A4303">
                              <w:pPr>
                                <w:rPr>
                                  <w:rFonts w:eastAsia="Times New Roman"/>
                                  <w:sz w:val="20"/>
                                  <w:szCs w:val="20"/>
                                </w:rPr>
                              </w:pPr>
                            </w:p>
                          </w:tc>
                          <w:tc>
                            <w:tcPr>
                              <w:tcW w:w="0" w:type="auto"/>
                              <w:shd w:val="clear" w:color="auto" w:fill="C9E9FF"/>
                              <w:hideMark/>
                            </w:tcPr>
                            <w:p w:rsidR="008A4303" w:rsidRDefault="008A4303">
                              <w:pPr>
                                <w:jc w:val="center"/>
                                <w:rPr>
                                  <w:rFonts w:ascii="Arial" w:eastAsia="Times New Roman" w:hAnsi="Arial" w:cs="Arial"/>
                                  <w:color w:val="333333"/>
                                  <w:sz w:val="21"/>
                                  <w:szCs w:val="21"/>
                                </w:rPr>
                              </w:pPr>
                              <w:r>
                                <w:rPr>
                                  <w:rStyle w:val="lev"/>
                                  <w:rFonts w:ascii="Arial" w:eastAsia="Times New Roman" w:hAnsi="Arial" w:cs="Arial"/>
                                  <w:color w:val="333333"/>
                                  <w:sz w:val="21"/>
                                  <w:szCs w:val="21"/>
                                  <w:u w:val="single"/>
                                </w:rPr>
                                <w:t>Publication de l’INSTRUCTION N° DGOS/R4/R3/2016/185 du 6 juin 2016 relative au dispositif de sortie précoce de chirurgie par mobilisation de l’hospitalisation à domicile</w:t>
                              </w:r>
                              <w:r>
                                <w:rPr>
                                  <w:rFonts w:ascii="Arial" w:eastAsia="Times New Roman" w:hAnsi="Arial" w:cs="Arial"/>
                                  <w:b/>
                                  <w:bCs/>
                                  <w:color w:val="333333"/>
                                  <w:sz w:val="21"/>
                                  <w:szCs w:val="21"/>
                                  <w:u w:val="single"/>
                                </w:rPr>
                                <w:br/>
                              </w:r>
                              <w:r>
                                <w:rPr>
                                  <w:rFonts w:ascii="Arial" w:eastAsia="Times New Roman" w:hAnsi="Arial" w:cs="Arial"/>
                                  <w:b/>
                                  <w:bCs/>
                                  <w:color w:val="333333"/>
                                  <w:sz w:val="21"/>
                                  <w:szCs w:val="21"/>
                                  <w:u w:val="single"/>
                                </w:rPr>
                                <w:br/>
                              </w:r>
                              <w:r>
                                <w:rPr>
                                  <w:rStyle w:val="lev"/>
                                  <w:rFonts w:ascii="Arial" w:eastAsia="Times New Roman" w:hAnsi="Arial" w:cs="Arial"/>
                                  <w:color w:val="333333"/>
                                  <w:sz w:val="21"/>
                                  <w:szCs w:val="21"/>
                                  <w:u w:val="single"/>
                                </w:rPr>
                                <w:t>Le Conseil d’Administration FHP-MCO recommande de ne pas participer</w:t>
                              </w:r>
                              <w:r>
                                <w:rPr>
                                  <w:rFonts w:ascii="Arial" w:eastAsia="Times New Roman" w:hAnsi="Arial" w:cs="Arial"/>
                                  <w:b/>
                                  <w:bCs/>
                                  <w:color w:val="333333"/>
                                  <w:sz w:val="21"/>
                                  <w:szCs w:val="21"/>
                                  <w:u w:val="single"/>
                                </w:rPr>
                                <w:br/>
                              </w:r>
                              <w:r>
                                <w:rPr>
                                  <w:rStyle w:val="lev"/>
                                  <w:rFonts w:ascii="Arial" w:eastAsia="Times New Roman" w:hAnsi="Arial" w:cs="Arial"/>
                                  <w:color w:val="333333"/>
                                  <w:sz w:val="21"/>
                                  <w:szCs w:val="21"/>
                                  <w:u w:val="single"/>
                                </w:rPr>
                                <w:t>à cet appel à candidature réalisé par la DGOS</w:t>
                              </w:r>
                            </w:p>
                          </w:tc>
                          <w:tc>
                            <w:tcPr>
                              <w:tcW w:w="225" w:type="dxa"/>
                              <w:shd w:val="clear" w:color="auto" w:fill="C9E9FF"/>
                              <w:hideMark/>
                            </w:tcPr>
                            <w:p w:rsidR="008A4303" w:rsidRDefault="008A4303">
                              <w:pPr>
                                <w:rPr>
                                  <w:rFonts w:ascii="Arial" w:eastAsia="Times New Roman" w:hAnsi="Arial" w:cs="Arial"/>
                                  <w:color w:val="333333"/>
                                  <w:sz w:val="21"/>
                                  <w:szCs w:val="21"/>
                                </w:rPr>
                              </w:pPr>
                            </w:p>
                          </w:tc>
                        </w:tr>
                        <w:tr w:rsidR="008A4303">
                          <w:trPr>
                            <w:trHeight w:val="225"/>
                            <w:tblCellSpacing w:w="0" w:type="dxa"/>
                          </w:trPr>
                          <w:tc>
                            <w:tcPr>
                              <w:tcW w:w="0" w:type="auto"/>
                              <w:gridSpan w:val="3"/>
                              <w:shd w:val="clear" w:color="auto" w:fill="C9E9FF"/>
                              <w:vAlign w:val="center"/>
                              <w:hideMark/>
                            </w:tcPr>
                            <w:p w:rsidR="008A4303" w:rsidRDefault="008A4303">
                              <w:pPr>
                                <w:rPr>
                                  <w:rFonts w:eastAsia="Times New Roman"/>
                                  <w:sz w:val="20"/>
                                  <w:szCs w:val="20"/>
                                </w:rPr>
                              </w:pPr>
                            </w:p>
                          </w:tc>
                        </w:tr>
                      </w:tbl>
                      <w:p w:rsidR="008A4303" w:rsidRDefault="008A4303">
                        <w:pPr>
                          <w:pStyle w:val="NormalWeb"/>
                          <w:spacing w:before="150" w:beforeAutospacing="0" w:after="150" w:afterAutospacing="0"/>
                          <w:rPr>
                            <w:rFonts w:ascii="Arial" w:hAnsi="Arial" w:cs="Arial"/>
                            <w:color w:val="333333"/>
                            <w:sz w:val="21"/>
                            <w:szCs w:val="21"/>
                          </w:rPr>
                        </w:pPr>
                        <w:r>
                          <w:rPr>
                            <w:rFonts w:ascii="Arial" w:hAnsi="Arial" w:cs="Arial"/>
                            <w:color w:val="333333"/>
                            <w:sz w:val="21"/>
                            <w:szCs w:val="21"/>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00"/>
                        </w:tblGrid>
                        <w:tr w:rsidR="008A4303">
                          <w:trPr>
                            <w:tblCellSpacing w:w="0" w:type="dxa"/>
                          </w:trPr>
                          <w:tc>
                            <w:tcPr>
                              <w:tcW w:w="0" w:type="auto"/>
                              <w:shd w:val="clear" w:color="auto" w:fill="FFFFFF"/>
                              <w:vAlign w:val="center"/>
                              <w:hideMark/>
                            </w:tcPr>
                            <w:p w:rsidR="008A4303" w:rsidRDefault="008A4303">
                              <w:pPr>
                                <w:jc w:val="both"/>
                                <w:rPr>
                                  <w:rFonts w:ascii="Arial" w:eastAsia="Times New Roman" w:hAnsi="Arial" w:cs="Arial"/>
                                  <w:color w:val="333333"/>
                                  <w:sz w:val="21"/>
                                  <w:szCs w:val="21"/>
                                </w:rPr>
                              </w:pPr>
                              <w:hyperlink r:id="rId9" w:tgtFrame="_blank" w:history="1">
                                <w:r>
                                  <w:rPr>
                                    <w:rStyle w:val="Lienhypertexte"/>
                                    <w:rFonts w:ascii="Arial" w:eastAsia="Times New Roman" w:hAnsi="Arial" w:cs="Arial"/>
                                    <w:color w:val="FF5800"/>
                                    <w:sz w:val="21"/>
                                    <w:szCs w:val="21"/>
                                  </w:rPr>
                                  <w:t>Par dépêche FHP-MCO du 14 mars dernier</w:t>
                                </w:r>
                              </w:hyperlink>
                              <w:r>
                                <w:rPr>
                                  <w:rFonts w:ascii="Arial" w:eastAsia="Times New Roman" w:hAnsi="Arial" w:cs="Arial"/>
                                  <w:color w:val="333333"/>
                                  <w:sz w:val="21"/>
                                  <w:szCs w:val="21"/>
                                </w:rPr>
                                <w:t>, nous vous informions de la position du Conseil d’Administration FHP-MCO qui a débattu de cette « nouveauté » « HAD Post Chirurgie » qui recommande de ne pas participer à l’appel à candidature réalisé par la DGOS lancé par l’instruction N° DGOS/R4/R3/2016/185 du 6 juin 2016 publiée récemment.</w:t>
                              </w:r>
                            </w:p>
                            <w:p w:rsidR="008A4303" w:rsidRDefault="008A4303">
                              <w:pPr>
                                <w:jc w:val="center"/>
                                <w:rPr>
                                  <w:rFonts w:ascii="Arial" w:eastAsia="Times New Roman" w:hAnsi="Arial" w:cs="Arial"/>
                                  <w:color w:val="333333"/>
                                  <w:sz w:val="21"/>
                                  <w:szCs w:val="21"/>
                                </w:rPr>
                              </w:pPr>
                              <w:r>
                                <w:rPr>
                                  <w:rFonts w:ascii="Arial" w:eastAsia="Times New Roman" w:hAnsi="Arial" w:cs="Arial"/>
                                  <w:color w:val="333333"/>
                                  <w:sz w:val="21"/>
                                  <w:szCs w:val="21"/>
                                </w:rPr>
                                <w:t> </w:t>
                              </w:r>
                            </w:p>
                            <w:p w:rsidR="008A4303" w:rsidRDefault="008A4303">
                              <w:pPr>
                                <w:jc w:val="center"/>
                                <w:rPr>
                                  <w:rFonts w:ascii="Arial" w:eastAsia="Times New Roman" w:hAnsi="Arial" w:cs="Arial"/>
                                  <w:color w:val="333333"/>
                                  <w:sz w:val="21"/>
                                  <w:szCs w:val="21"/>
                                </w:rPr>
                              </w:pPr>
                              <w:r>
                                <w:rPr>
                                  <w:rFonts w:ascii="Arial" w:eastAsia="Times New Roman" w:hAnsi="Arial" w:cs="Arial"/>
                                  <w:color w:val="333333"/>
                                  <w:sz w:val="21"/>
                                  <w:szCs w:val="21"/>
                                </w:rPr>
                                <w:t>Cette recommandation du Conseil d’Administration cible les modalités du dispositif décrit au sein de cette instruction et en aucun cas la question du développement de l’activité HAD.</w:t>
                              </w:r>
                            </w:p>
                            <w:p w:rsidR="008A4303" w:rsidRDefault="008A4303" w:rsidP="008A4303">
                              <w:pPr>
                                <w:rPr>
                                  <w:rFonts w:ascii="Arial" w:eastAsia="Times New Roman" w:hAnsi="Arial" w:cs="Arial"/>
                                  <w:color w:val="333333"/>
                                  <w:sz w:val="21"/>
                                  <w:szCs w:val="21"/>
                                </w:rPr>
                              </w:pPr>
                              <w:r>
                                <w:rPr>
                                  <w:rFonts w:ascii="Arial" w:eastAsia="Times New Roman" w:hAnsi="Arial" w:cs="Arial"/>
                                  <w:color w:val="333333"/>
                                  <w:sz w:val="21"/>
                                  <w:szCs w:val="21"/>
                                </w:rPr>
                                <w:t> </w:t>
                              </w:r>
                              <w:r>
                                <w:rPr>
                                  <w:rFonts w:ascii="Arial" w:eastAsia="Times New Roman" w:hAnsi="Arial" w:cs="Arial"/>
                                  <w:color w:val="333333"/>
                                  <w:sz w:val="21"/>
                                  <w:szCs w:val="21"/>
                                </w:rPr>
                                <w:br/>
                              </w:r>
                              <w:r>
                                <w:rPr>
                                  <w:rStyle w:val="Accentuation"/>
                                  <w:rFonts w:ascii="Arial" w:eastAsia="Times New Roman" w:hAnsi="Arial" w:cs="Arial"/>
                                  <w:b/>
                                  <w:bCs/>
                                  <w:color w:val="333333"/>
                                  <w:sz w:val="21"/>
                                  <w:szCs w:val="21"/>
                                </w:rPr>
                                <w:t>Pour mémoire, les trois motivations majeures de cette recommandation du Conseil d’Administration FHP-MCO </w:t>
                              </w:r>
                              <w:r>
                                <w:rPr>
                                  <w:rFonts w:ascii="Arial" w:eastAsia="Times New Roman" w:hAnsi="Arial" w:cs="Arial"/>
                                  <w:color w:val="333333"/>
                                  <w:sz w:val="21"/>
                                  <w:szCs w:val="21"/>
                                </w:rPr>
                                <w:br/>
                                <w:t> </w:t>
                              </w:r>
                              <w:r>
                                <w:rPr>
                                  <w:rFonts w:ascii="Arial" w:eastAsia="Times New Roman" w:hAnsi="Arial" w:cs="Arial"/>
                                  <w:color w:val="333333"/>
                                  <w:sz w:val="21"/>
                                  <w:szCs w:val="21"/>
                                </w:rPr>
                                <w:br/>
                                <w:t xml:space="preserve">Le Ministère promeut le développement de la chirurgie ambulatoire dont les </w:t>
                              </w:r>
                              <w:r>
                                <w:rPr>
                                  <w:rStyle w:val="lev"/>
                                  <w:rFonts w:ascii="Arial" w:eastAsia="Times New Roman" w:hAnsi="Arial" w:cs="Arial"/>
                                  <w:color w:val="333333"/>
                                  <w:sz w:val="21"/>
                                  <w:szCs w:val="21"/>
                                </w:rPr>
                                <w:t>Objectifs et Orientations de la chirurgie ambulatoire en 2020 sont clairement définis notamment au sein de l’instruction du 28 septembre 2015.</w:t>
                              </w:r>
                              <w:r>
                                <w:rPr>
                                  <w:rFonts w:ascii="Arial" w:eastAsia="Times New Roman" w:hAnsi="Arial" w:cs="Arial"/>
                                  <w:color w:val="333333"/>
                                  <w:sz w:val="21"/>
                                  <w:szCs w:val="21"/>
                                </w:rPr>
                                <w:br/>
                              </w:r>
                              <w:r>
                                <w:rPr>
                                  <w:rFonts w:ascii="Arial" w:eastAsia="Times New Roman" w:hAnsi="Arial" w:cs="Arial"/>
                                  <w:color w:val="333333"/>
                                  <w:sz w:val="21"/>
                                  <w:szCs w:val="21"/>
                                </w:rPr>
                                <w:br/>
                              </w:r>
                              <w:r>
                                <w:rPr>
                                  <w:rStyle w:val="lev"/>
                                  <w:rFonts w:ascii="Arial" w:eastAsia="Times New Roman" w:hAnsi="Arial" w:cs="Arial"/>
                                  <w:color w:val="333333"/>
                                  <w:sz w:val="21"/>
                                  <w:szCs w:val="21"/>
                                  <w:u w:val="single"/>
                                </w:rPr>
                                <w:t>1° Le Ministère conduit des actions contradictoires à cet objectif de développement de la chirurgie ambulatoire en </w:t>
                              </w:r>
                              <w:r>
                                <w:rPr>
                                  <w:rStyle w:val="lev"/>
                                  <w:rFonts w:ascii="Arial" w:eastAsia="Times New Roman" w:hAnsi="Arial" w:cs="Arial"/>
                                  <w:color w:val="333333"/>
                                  <w:sz w:val="21"/>
                                  <w:szCs w:val="21"/>
                                </w:rPr>
                                <w:t xml:space="preserve">: </w:t>
                              </w:r>
                            </w:p>
                            <w:p w:rsidR="008A4303" w:rsidRDefault="008A4303" w:rsidP="00AE3C4B">
                              <w:pPr>
                                <w:numPr>
                                  <w:ilvl w:val="0"/>
                                  <w:numId w:val="1"/>
                                </w:numPr>
                                <w:spacing w:before="100" w:beforeAutospacing="1" w:after="100" w:afterAutospacing="1"/>
                                <w:jc w:val="both"/>
                                <w:rPr>
                                  <w:rFonts w:ascii="Arial" w:eastAsia="Times New Roman" w:hAnsi="Arial" w:cs="Arial"/>
                                  <w:color w:val="333333"/>
                                  <w:sz w:val="21"/>
                                  <w:szCs w:val="21"/>
                                </w:rPr>
                              </w:pPr>
                              <w:r>
                                <w:rPr>
                                  <w:rFonts w:ascii="Arial" w:eastAsia="Times New Roman" w:hAnsi="Arial" w:cs="Arial"/>
                                  <w:color w:val="333333"/>
                                  <w:sz w:val="21"/>
                                  <w:szCs w:val="21"/>
                                </w:rPr>
                                <w:t xml:space="preserve">En conduisant une politique tarifaire </w:t>
                              </w:r>
                              <w:proofErr w:type="spellStart"/>
                              <w:r>
                                <w:rPr>
                                  <w:rFonts w:ascii="Arial" w:eastAsia="Times New Roman" w:hAnsi="Arial" w:cs="Arial"/>
                                  <w:color w:val="333333"/>
                                  <w:sz w:val="21"/>
                                  <w:szCs w:val="21"/>
                                </w:rPr>
                                <w:t>désincitative</w:t>
                              </w:r>
                              <w:proofErr w:type="spellEnd"/>
                              <w:r>
                                <w:rPr>
                                  <w:rFonts w:ascii="Arial" w:eastAsia="Times New Roman" w:hAnsi="Arial" w:cs="Arial"/>
                                  <w:color w:val="333333"/>
                                  <w:sz w:val="21"/>
                                  <w:szCs w:val="21"/>
                                </w:rPr>
                                <w:t xml:space="preserve"> par le prélèvement d’économies dès 2015 puis en 2016 et annoncées pour 2017 de 160 millions chaque année (187 millions en effet année pleine), soit un total de 400 millions sur 3 ans (2015 compris avec 80 millions).</w:t>
                              </w:r>
                            </w:p>
                            <w:p w:rsidR="008A4303" w:rsidRDefault="008A4303" w:rsidP="00AE3C4B">
                              <w:pPr>
                                <w:numPr>
                                  <w:ilvl w:val="0"/>
                                  <w:numId w:val="1"/>
                                </w:numPr>
                                <w:spacing w:before="100" w:beforeAutospacing="1" w:after="100" w:afterAutospacing="1"/>
                                <w:jc w:val="both"/>
                                <w:rPr>
                                  <w:rFonts w:ascii="Arial" w:eastAsia="Times New Roman" w:hAnsi="Arial" w:cs="Arial"/>
                                  <w:color w:val="333333"/>
                                  <w:sz w:val="21"/>
                                  <w:szCs w:val="21"/>
                                </w:rPr>
                              </w:pPr>
                              <w:r>
                                <w:rPr>
                                  <w:rFonts w:ascii="Arial" w:eastAsia="Times New Roman" w:hAnsi="Arial" w:cs="Arial"/>
                                  <w:color w:val="333333"/>
                                  <w:sz w:val="21"/>
                                  <w:szCs w:val="21"/>
                                </w:rPr>
                                <w:lastRenderedPageBreak/>
                                <w:t>En mettant en place ce dispositif</w:t>
                              </w:r>
                              <w:r>
                                <w:rPr>
                                  <w:rStyle w:val="lev"/>
                                  <w:rFonts w:ascii="Arial" w:eastAsia="Times New Roman" w:hAnsi="Arial" w:cs="Arial"/>
                                  <w:color w:val="333333"/>
                                  <w:sz w:val="21"/>
                                  <w:szCs w:val="21"/>
                                </w:rPr>
                                <w:t xml:space="preserve"> « HAD sortie précoce de chirurgie » par un système de liste d’actes, processus que l’on sait, par nature, contraire à toutes évolutions des pratiques car les figeant dans la durée. </w:t>
                              </w:r>
                            </w:p>
                            <w:p w:rsidR="008A4303" w:rsidRDefault="008A4303" w:rsidP="00AE3C4B">
                              <w:pPr>
                                <w:numPr>
                                  <w:ilvl w:val="0"/>
                                  <w:numId w:val="1"/>
                                </w:numPr>
                                <w:spacing w:before="100" w:beforeAutospacing="1" w:after="100" w:afterAutospacing="1"/>
                                <w:jc w:val="both"/>
                                <w:rPr>
                                  <w:rFonts w:ascii="Arial" w:eastAsia="Times New Roman" w:hAnsi="Arial" w:cs="Arial"/>
                                  <w:color w:val="333333"/>
                                  <w:sz w:val="21"/>
                                  <w:szCs w:val="21"/>
                                </w:rPr>
                              </w:pPr>
                              <w:r>
                                <w:rPr>
                                  <w:rFonts w:ascii="Arial" w:eastAsia="Times New Roman" w:hAnsi="Arial" w:cs="Arial"/>
                                  <w:color w:val="333333"/>
                                  <w:sz w:val="21"/>
                                  <w:szCs w:val="21"/>
                                  <w:u w:val="single"/>
                                </w:rPr>
                                <w:t>Nous nous sommes toujours opposés aux dispositifs de liste d’actes qui demeurent complexes dans leur gestion, chronophage et peu consensuelle dans leur mise à jour</w:t>
                              </w:r>
                              <w:r>
                                <w:rPr>
                                  <w:rFonts w:ascii="Arial" w:eastAsia="Times New Roman" w:hAnsi="Arial" w:cs="Arial"/>
                                  <w:color w:val="333333"/>
                                  <w:sz w:val="21"/>
                                  <w:szCs w:val="21"/>
                                </w:rPr>
                                <w:t>.</w:t>
                              </w:r>
                            </w:p>
                            <w:p w:rsidR="008A4303" w:rsidRDefault="008A4303" w:rsidP="00AE3C4B">
                              <w:pPr>
                                <w:numPr>
                                  <w:ilvl w:val="0"/>
                                  <w:numId w:val="1"/>
                                </w:numPr>
                                <w:spacing w:before="100" w:beforeAutospacing="1" w:after="100" w:afterAutospacing="1"/>
                                <w:jc w:val="both"/>
                                <w:rPr>
                                  <w:rFonts w:ascii="Arial" w:eastAsia="Times New Roman" w:hAnsi="Arial" w:cs="Arial"/>
                                  <w:color w:val="333333"/>
                                  <w:sz w:val="21"/>
                                  <w:szCs w:val="21"/>
                                </w:rPr>
                              </w:pPr>
                              <w:r>
                                <w:rPr>
                                  <w:rFonts w:ascii="Arial" w:eastAsia="Times New Roman" w:hAnsi="Arial" w:cs="Arial"/>
                                  <w:color w:val="333333"/>
                                  <w:sz w:val="21"/>
                                  <w:szCs w:val="21"/>
                                </w:rPr>
                                <w:t>Si des tentatives ont existé par le passé de fixer des listes d’actes en chirurgie ambulatoire, il est fort heureux que celles-ci n’est jamais vu le jour. C’est bien le terrain du patient qui doit guider la prise en charge globale et non une liste d’actes obsolètes par essence… et cette liste « HAD Post Chirurgie » l’est déjà !</w:t>
                              </w:r>
                            </w:p>
                            <w:p w:rsidR="008A4303" w:rsidRDefault="008A4303" w:rsidP="00AE3C4B">
                              <w:pPr>
                                <w:numPr>
                                  <w:ilvl w:val="0"/>
                                  <w:numId w:val="1"/>
                                </w:numPr>
                                <w:spacing w:before="100" w:beforeAutospacing="1" w:after="100" w:afterAutospacing="1"/>
                                <w:jc w:val="both"/>
                                <w:rPr>
                                  <w:rFonts w:ascii="Arial" w:eastAsia="Times New Roman" w:hAnsi="Arial" w:cs="Arial"/>
                                  <w:color w:val="333333"/>
                                  <w:sz w:val="21"/>
                                  <w:szCs w:val="21"/>
                                </w:rPr>
                              </w:pPr>
                              <w:r>
                                <w:rPr>
                                  <w:rStyle w:val="lev"/>
                                  <w:rFonts w:ascii="Arial" w:eastAsia="Times New Roman" w:hAnsi="Arial" w:cs="Arial"/>
                                  <w:color w:val="333333"/>
                                  <w:sz w:val="21"/>
                                  <w:szCs w:val="21"/>
                                </w:rPr>
                                <w:t>En effet, le projet de dispositif</w:t>
                              </w:r>
                              <w:r>
                                <w:rPr>
                                  <w:rFonts w:ascii="Arial" w:eastAsia="Times New Roman" w:hAnsi="Arial" w:cs="Arial"/>
                                  <w:color w:val="333333"/>
                                  <w:sz w:val="21"/>
                                  <w:szCs w:val="21"/>
                                </w:rPr>
                                <w:t xml:space="preserve"> </w:t>
                              </w:r>
                              <w:r>
                                <w:rPr>
                                  <w:rStyle w:val="lev"/>
                                  <w:rFonts w:ascii="Arial" w:eastAsia="Times New Roman" w:hAnsi="Arial" w:cs="Arial"/>
                                  <w:color w:val="333333"/>
                                  <w:sz w:val="21"/>
                                  <w:szCs w:val="21"/>
                                </w:rPr>
                                <w:t>« HAD Post Chirurgie » cible des actes qui sont déjà réalisés par certains professionnels en chirurgie ambulatoire, à savoir, la prothèse totale du genou ou l’intervention majeure sur l’intestin grêle et le côlon.</w:t>
                              </w:r>
                            </w:p>
                            <w:p w:rsidR="008A4303" w:rsidRDefault="008A4303" w:rsidP="008A4303">
                              <w:pPr>
                                <w:rPr>
                                  <w:rFonts w:ascii="Arial" w:eastAsia="Times New Roman" w:hAnsi="Arial" w:cs="Arial"/>
                                  <w:color w:val="333333"/>
                                  <w:sz w:val="21"/>
                                  <w:szCs w:val="21"/>
                                </w:rPr>
                              </w:pPr>
                              <w:r>
                                <w:rPr>
                                  <w:rFonts w:ascii="Arial" w:eastAsia="Times New Roman" w:hAnsi="Arial" w:cs="Arial"/>
                                  <w:color w:val="333333"/>
                                  <w:sz w:val="21"/>
                                  <w:szCs w:val="21"/>
                                </w:rPr>
                                <w:t>Un tel dispositif interdit, de facto, le recours à d’autres prises en charge hospitalières qui pourraient s’avérer nécessaires sur le plan médical.</w:t>
                              </w:r>
                              <w:r>
                                <w:rPr>
                                  <w:rFonts w:ascii="Arial" w:eastAsia="Times New Roman" w:hAnsi="Arial" w:cs="Arial"/>
                                  <w:color w:val="333333"/>
                                  <w:sz w:val="21"/>
                                  <w:szCs w:val="21"/>
                                </w:rPr>
                                <w:br/>
                              </w:r>
                              <w:r>
                                <w:rPr>
                                  <w:rFonts w:ascii="Arial" w:eastAsia="Times New Roman" w:hAnsi="Arial" w:cs="Arial"/>
                                  <w:color w:val="333333"/>
                                  <w:sz w:val="21"/>
                                  <w:szCs w:val="21"/>
                                </w:rPr>
                                <w:br/>
                              </w:r>
                              <w:r>
                                <w:rPr>
                                  <w:rStyle w:val="lev"/>
                                  <w:rFonts w:ascii="Arial" w:eastAsia="Times New Roman" w:hAnsi="Arial" w:cs="Arial"/>
                                  <w:color w:val="333333"/>
                                  <w:sz w:val="21"/>
                                  <w:szCs w:val="21"/>
                                </w:rPr>
                                <w:t>Cette mesure brouille le message sur le développement de la chirurgie ambulatoire par la conduite d’une politique publique incompréhensible et incohérente.</w:t>
                              </w:r>
                              <w:r>
                                <w:rPr>
                                  <w:rFonts w:ascii="Arial" w:eastAsia="Times New Roman" w:hAnsi="Arial" w:cs="Arial"/>
                                  <w:color w:val="333333"/>
                                  <w:sz w:val="21"/>
                                  <w:szCs w:val="21"/>
                                </w:rPr>
                                <w:br/>
                                <w:t> </w:t>
                              </w:r>
                            </w:p>
                            <w:p w:rsidR="008A4303" w:rsidRDefault="008A4303">
                              <w:pPr>
                                <w:jc w:val="both"/>
                                <w:rPr>
                                  <w:rFonts w:ascii="Arial" w:eastAsia="Times New Roman" w:hAnsi="Arial" w:cs="Arial"/>
                                  <w:color w:val="333333"/>
                                  <w:sz w:val="21"/>
                                  <w:szCs w:val="21"/>
                                </w:rPr>
                              </w:pPr>
                              <w:r>
                                <w:rPr>
                                  <w:rStyle w:val="lev"/>
                                  <w:rFonts w:ascii="Arial" w:eastAsia="Times New Roman" w:hAnsi="Arial" w:cs="Arial"/>
                                  <w:color w:val="333333"/>
                                  <w:sz w:val="21"/>
                                  <w:szCs w:val="21"/>
                                  <w:u w:val="single"/>
                                </w:rPr>
                                <w:t>2° Le dispositif technique est inachevé et impactant financièrement</w:t>
                              </w:r>
                            </w:p>
                            <w:p w:rsidR="008A4303" w:rsidRDefault="008A4303" w:rsidP="008A4303">
                              <w:pPr>
                                <w:rPr>
                                  <w:rFonts w:ascii="Arial" w:eastAsia="Times New Roman" w:hAnsi="Arial" w:cs="Arial"/>
                                  <w:color w:val="333333"/>
                                  <w:sz w:val="21"/>
                                  <w:szCs w:val="21"/>
                                </w:rPr>
                              </w:pPr>
                              <w:r>
                                <w:rPr>
                                  <w:rFonts w:ascii="Arial" w:eastAsia="Times New Roman" w:hAnsi="Arial" w:cs="Arial"/>
                                  <w:color w:val="333333"/>
                                  <w:sz w:val="21"/>
                                  <w:szCs w:val="21"/>
                                </w:rPr>
                                <w:t> </w:t>
                              </w:r>
                              <w:r>
                                <w:rPr>
                                  <w:rFonts w:ascii="Arial" w:eastAsia="Times New Roman" w:hAnsi="Arial" w:cs="Arial"/>
                                  <w:color w:val="333333"/>
                                  <w:sz w:val="21"/>
                                  <w:szCs w:val="21"/>
                                </w:rPr>
                                <w:br/>
                                <w:t xml:space="preserve">Si dans notre première dépêche du 14 mars </w:t>
                              </w:r>
                              <w:proofErr w:type="gramStart"/>
                              <w:r>
                                <w:rPr>
                                  <w:rFonts w:ascii="Arial" w:eastAsia="Times New Roman" w:hAnsi="Arial" w:cs="Arial"/>
                                  <w:color w:val="333333"/>
                                  <w:sz w:val="21"/>
                                  <w:szCs w:val="21"/>
                                </w:rPr>
                                <w:t>dernier ,</w:t>
                              </w:r>
                              <w:proofErr w:type="gramEnd"/>
                              <w:r>
                                <w:rPr>
                                  <w:rFonts w:ascii="Arial" w:eastAsia="Times New Roman" w:hAnsi="Arial" w:cs="Arial"/>
                                  <w:color w:val="333333"/>
                                  <w:sz w:val="21"/>
                                  <w:szCs w:val="21"/>
                                </w:rPr>
                                <w:t xml:space="preserve"> nous précisions :</w:t>
                              </w:r>
                              <w:r>
                                <w:rPr>
                                  <w:rFonts w:ascii="Arial" w:eastAsia="Times New Roman" w:hAnsi="Arial" w:cs="Arial"/>
                                  <w:color w:val="333333"/>
                                  <w:sz w:val="21"/>
                                  <w:szCs w:val="21"/>
                                </w:rPr>
                                <w:br/>
                                <w:t> </w:t>
                              </w:r>
                              <w:r>
                                <w:rPr>
                                  <w:rFonts w:ascii="Arial" w:eastAsia="Times New Roman" w:hAnsi="Arial" w:cs="Arial"/>
                                  <w:color w:val="333333"/>
                                  <w:sz w:val="21"/>
                                  <w:szCs w:val="21"/>
                                </w:rPr>
                                <w:br/>
                              </w:r>
                              <w:r>
                                <w:rPr>
                                  <w:rStyle w:val="Accentuation"/>
                                  <w:rFonts w:ascii="Arial" w:eastAsia="Times New Roman" w:hAnsi="Arial" w:cs="Arial"/>
                                  <w:color w:val="333333"/>
                                  <w:sz w:val="21"/>
                                  <w:szCs w:val="21"/>
                                </w:rPr>
                                <w:t xml:space="preserve">« L’application éventuelle des bornes basses, du fait de raccourcissement de séjours en MCO, sera neutralisée dans la fonction groupage pour la campagne </w:t>
                              </w:r>
                              <w:r>
                                <w:rPr>
                                  <w:rStyle w:val="lev"/>
                                  <w:rFonts w:ascii="Arial" w:eastAsia="Times New Roman" w:hAnsi="Arial" w:cs="Arial"/>
                                  <w:i/>
                                  <w:iCs/>
                                  <w:color w:val="333333"/>
                                  <w:sz w:val="21"/>
                                  <w:szCs w:val="21"/>
                                  <w:u w:val="single"/>
                                </w:rPr>
                                <w:t>2017</w:t>
                              </w:r>
                              <w:r>
                                <w:rPr>
                                  <w:rStyle w:val="Accentuation"/>
                                  <w:rFonts w:ascii="Arial" w:eastAsia="Times New Roman" w:hAnsi="Arial" w:cs="Arial"/>
                                  <w:color w:val="333333"/>
                                  <w:sz w:val="21"/>
                                  <w:szCs w:val="21"/>
                                </w:rPr>
                                <w:t>.</w:t>
                              </w:r>
                              <w:r>
                                <w:rPr>
                                  <w:rFonts w:ascii="Arial" w:eastAsia="Times New Roman" w:hAnsi="Arial" w:cs="Arial"/>
                                  <w:color w:val="333333"/>
                                  <w:sz w:val="21"/>
                                  <w:szCs w:val="21"/>
                                </w:rPr>
                                <w:br/>
                                <w:t> </w:t>
                              </w:r>
                              <w:r>
                                <w:rPr>
                                  <w:rFonts w:ascii="Arial" w:eastAsia="Times New Roman" w:hAnsi="Arial" w:cs="Arial"/>
                                  <w:color w:val="333333"/>
                                  <w:sz w:val="21"/>
                                  <w:szCs w:val="21"/>
                                </w:rPr>
                                <w:br/>
                              </w:r>
                              <w:r>
                                <w:rPr>
                                  <w:rStyle w:val="Accentuation"/>
                                  <w:rFonts w:ascii="Arial" w:eastAsia="Times New Roman" w:hAnsi="Arial" w:cs="Arial"/>
                                  <w:color w:val="333333"/>
                                  <w:sz w:val="21"/>
                                  <w:szCs w:val="21"/>
                                </w:rPr>
                                <w:t xml:space="preserve">Pour la campagne 2016, les bornes basses continuant de s’appliquer, une compensation financière pour les établissements sera mise en œuvre sur la base d’un suivi des séjours par l’ATIH (crédits AC alloués via la première circulaire budgétaire </w:t>
                              </w:r>
                              <w:r>
                                <w:rPr>
                                  <w:rStyle w:val="lev"/>
                                  <w:rFonts w:ascii="Arial" w:eastAsia="Times New Roman" w:hAnsi="Arial" w:cs="Arial"/>
                                  <w:i/>
                                  <w:iCs/>
                                  <w:color w:val="333333"/>
                                  <w:sz w:val="21"/>
                                  <w:szCs w:val="21"/>
                                </w:rPr>
                                <w:t>2017</w:t>
                              </w:r>
                              <w:r>
                                <w:rPr>
                                  <w:rStyle w:val="Accentuation"/>
                                  <w:rFonts w:ascii="Arial" w:eastAsia="Times New Roman" w:hAnsi="Arial" w:cs="Arial"/>
                                  <w:color w:val="333333"/>
                                  <w:sz w:val="21"/>
                                  <w:szCs w:val="21"/>
                                </w:rPr>
                                <w:t>). »</w:t>
                              </w:r>
                              <w:r>
                                <w:rPr>
                                  <w:rFonts w:ascii="Arial" w:eastAsia="Times New Roman" w:hAnsi="Arial" w:cs="Arial"/>
                                  <w:color w:val="333333"/>
                                  <w:sz w:val="21"/>
                                  <w:szCs w:val="21"/>
                                </w:rPr>
                                <w:br/>
                                <w:t> </w:t>
                              </w:r>
                              <w:r>
                                <w:rPr>
                                  <w:rFonts w:ascii="Arial" w:eastAsia="Times New Roman" w:hAnsi="Arial" w:cs="Arial"/>
                                  <w:color w:val="333333"/>
                                  <w:sz w:val="21"/>
                                  <w:szCs w:val="21"/>
                                </w:rPr>
                                <w:br/>
                              </w:r>
                              <w:r>
                                <w:rPr>
                                  <w:rStyle w:val="lev"/>
                                  <w:rFonts w:ascii="Arial" w:eastAsia="Times New Roman" w:hAnsi="Arial" w:cs="Arial"/>
                                  <w:color w:val="333333"/>
                                  <w:sz w:val="21"/>
                                  <w:szCs w:val="21"/>
                                  <w:u w:val="single"/>
                                </w:rPr>
                                <w:t xml:space="preserve">Le message apporté par </w:t>
                              </w:r>
                              <w:r>
                                <w:rPr>
                                  <w:rFonts w:ascii="Arial" w:eastAsia="Times New Roman" w:hAnsi="Arial" w:cs="Arial"/>
                                  <w:color w:val="333333"/>
                                  <w:sz w:val="21"/>
                                  <w:szCs w:val="21"/>
                                </w:rPr>
                                <w:t>l’INSTRUCTION N° DGOS/R4/R3/2016/185 du 6 juin 2016 sur la question du financement est encore moins précis et comporte de grandes incertitudes puisqu’il est écrit : « </w:t>
                              </w:r>
                              <w:r>
                                <w:rPr>
                                  <w:rStyle w:val="Accentuation"/>
                                  <w:rFonts w:ascii="Arial" w:eastAsia="Times New Roman" w:hAnsi="Arial" w:cs="Arial"/>
                                  <w:b/>
                                  <w:bCs/>
                                  <w:color w:val="333333"/>
                                  <w:sz w:val="21"/>
                                  <w:szCs w:val="21"/>
                                  <w:u w:val="single"/>
                                </w:rPr>
                                <w:t>la neutralisation éventuelle</w:t>
                              </w:r>
                              <w:r>
                                <w:rPr>
                                  <w:rStyle w:val="Accentuation"/>
                                  <w:rFonts w:ascii="Arial" w:eastAsia="Times New Roman" w:hAnsi="Arial" w:cs="Arial"/>
                                  <w:color w:val="333333"/>
                                  <w:sz w:val="21"/>
                                  <w:szCs w:val="21"/>
                                </w:rPr>
                                <w:t xml:space="preserve"> de l’impact des bornes basses dans le modèle de tarification </w:t>
                              </w:r>
                              <w:r>
                                <w:rPr>
                                  <w:rStyle w:val="lev"/>
                                  <w:rFonts w:ascii="Arial" w:eastAsia="Times New Roman" w:hAnsi="Arial" w:cs="Arial"/>
                                  <w:i/>
                                  <w:iCs/>
                                  <w:color w:val="333333"/>
                                  <w:sz w:val="21"/>
                                  <w:szCs w:val="21"/>
                                  <w:u w:val="single"/>
                                </w:rPr>
                                <w:t>sera étudiée</w:t>
                              </w:r>
                              <w:r>
                                <w:rPr>
                                  <w:rStyle w:val="Accentuation"/>
                                  <w:rFonts w:ascii="Arial" w:eastAsia="Times New Roman" w:hAnsi="Arial" w:cs="Arial"/>
                                  <w:color w:val="333333"/>
                                  <w:sz w:val="21"/>
                                  <w:szCs w:val="21"/>
                                </w:rPr>
                                <w:t xml:space="preserve"> pour les séjours concernés »</w:t>
                              </w:r>
                              <w:r>
                                <w:rPr>
                                  <w:rFonts w:ascii="Arial" w:eastAsia="Times New Roman" w:hAnsi="Arial" w:cs="Arial"/>
                                  <w:color w:val="333333"/>
                                  <w:sz w:val="21"/>
                                  <w:szCs w:val="21"/>
                                </w:rPr>
                                <w:br/>
                                <w:t> </w:t>
                              </w:r>
                              <w:r>
                                <w:rPr>
                                  <w:rFonts w:ascii="Arial" w:eastAsia="Times New Roman" w:hAnsi="Arial" w:cs="Arial"/>
                                  <w:color w:val="333333"/>
                                  <w:sz w:val="21"/>
                                  <w:szCs w:val="21"/>
                                </w:rPr>
                                <w:br/>
                                <w:t>Extrait de l’instruction :</w:t>
                              </w:r>
                              <w:r>
                                <w:rPr>
                                  <w:rFonts w:ascii="Arial" w:eastAsia="Times New Roman" w:hAnsi="Arial" w:cs="Arial"/>
                                  <w:color w:val="333333"/>
                                  <w:sz w:val="21"/>
                                  <w:szCs w:val="21"/>
                                </w:rPr>
                                <w:br/>
                                <w:t> </w:t>
                              </w:r>
                              <w:r>
                                <w:rPr>
                                  <w:rFonts w:ascii="Arial" w:eastAsia="Times New Roman" w:hAnsi="Arial" w:cs="Arial"/>
                                  <w:color w:val="333333"/>
                                  <w:sz w:val="21"/>
                                  <w:szCs w:val="21"/>
                                </w:rPr>
                                <w:br/>
                              </w:r>
                              <w:r>
                                <w:rPr>
                                  <w:rStyle w:val="Accentuation"/>
                                  <w:rFonts w:ascii="Arial" w:eastAsia="Times New Roman" w:hAnsi="Arial" w:cs="Arial"/>
                                  <w:color w:val="333333"/>
                                  <w:sz w:val="21"/>
                                  <w:szCs w:val="21"/>
                                </w:rPr>
                                <w:t>« Les séjours concernés par une sortie précoce de chirurgie ne font pas l’objet d’une modalité de tarification spécifique pour 2016 compte-tenu du faible nombre de séjours attendus en première année de montée en charge du dispositif.</w:t>
                              </w:r>
                              <w:r>
                                <w:rPr>
                                  <w:rFonts w:ascii="Arial" w:eastAsia="Times New Roman" w:hAnsi="Arial" w:cs="Arial"/>
                                  <w:color w:val="333333"/>
                                  <w:sz w:val="21"/>
                                  <w:szCs w:val="21"/>
                                </w:rPr>
                                <w:br/>
                                <w:t> </w:t>
                              </w:r>
                              <w:r>
                                <w:rPr>
                                  <w:rFonts w:ascii="Arial" w:eastAsia="Times New Roman" w:hAnsi="Arial" w:cs="Arial"/>
                                  <w:color w:val="333333"/>
                                  <w:sz w:val="21"/>
                                  <w:szCs w:val="21"/>
                                </w:rPr>
                                <w:br/>
                              </w:r>
                              <w:r>
                                <w:rPr>
                                  <w:rStyle w:val="Accentuation"/>
                                  <w:rFonts w:ascii="Arial" w:eastAsia="Times New Roman" w:hAnsi="Arial" w:cs="Arial"/>
                                  <w:color w:val="333333"/>
                                  <w:sz w:val="21"/>
                                  <w:szCs w:val="21"/>
                                </w:rPr>
                                <w:t>Toutefois, une attention particulière sera portée à l’impact économique de l’application éventuelle des bornes basses du fait de la diminution attendue des durées de séjour. Un suivi quantitatif des séjours par établissement permettra d’identifier</w:t>
                              </w:r>
                              <w:r>
                                <w:rPr>
                                  <w:rStyle w:val="lev"/>
                                  <w:rFonts w:ascii="Arial" w:eastAsia="Times New Roman" w:hAnsi="Arial" w:cs="Arial"/>
                                  <w:i/>
                                  <w:iCs/>
                                  <w:color w:val="333333"/>
                                  <w:sz w:val="21"/>
                                  <w:szCs w:val="21"/>
                                </w:rPr>
                                <w:t xml:space="preserve">, </w:t>
                              </w:r>
                              <w:r>
                                <w:rPr>
                                  <w:rStyle w:val="lev"/>
                                  <w:rFonts w:ascii="Arial" w:eastAsia="Times New Roman" w:hAnsi="Arial" w:cs="Arial"/>
                                  <w:i/>
                                  <w:iCs/>
                                  <w:color w:val="333333"/>
                                  <w:sz w:val="21"/>
                                  <w:szCs w:val="21"/>
                                  <w:u w:val="single"/>
                                </w:rPr>
                                <w:t>le cas échéant</w:t>
                              </w:r>
                              <w:r>
                                <w:rPr>
                                  <w:rStyle w:val="lev"/>
                                  <w:rFonts w:ascii="Arial" w:eastAsia="Times New Roman" w:hAnsi="Arial" w:cs="Arial"/>
                                  <w:i/>
                                  <w:iCs/>
                                  <w:color w:val="333333"/>
                                  <w:sz w:val="21"/>
                                  <w:szCs w:val="21"/>
                                </w:rPr>
                                <w:t>,</w:t>
                              </w:r>
                              <w:r>
                                <w:rPr>
                                  <w:rStyle w:val="Accentuation"/>
                                  <w:rFonts w:ascii="Arial" w:eastAsia="Times New Roman" w:hAnsi="Arial" w:cs="Arial"/>
                                  <w:color w:val="333333"/>
                                  <w:sz w:val="21"/>
                                  <w:szCs w:val="21"/>
                                </w:rPr>
                                <w:t xml:space="preserve"> les pertes financières liées à l’application des bornes basses pour les séjours concernés par le dispositif.</w:t>
                              </w:r>
                              <w:r>
                                <w:rPr>
                                  <w:rFonts w:ascii="Arial" w:eastAsia="Times New Roman" w:hAnsi="Arial" w:cs="Arial"/>
                                  <w:color w:val="333333"/>
                                  <w:sz w:val="21"/>
                                  <w:szCs w:val="21"/>
                                </w:rPr>
                                <w:br/>
                              </w:r>
                              <w:r>
                                <w:rPr>
                                  <w:rStyle w:val="Accentuation"/>
                                  <w:rFonts w:ascii="Arial" w:eastAsia="Times New Roman" w:hAnsi="Arial" w:cs="Arial"/>
                                  <w:color w:val="333333"/>
                                  <w:sz w:val="21"/>
                                  <w:szCs w:val="21"/>
                                </w:rPr>
                                <w:t xml:space="preserve">Les établissements devront ainsi veiller à l’effectivité du codage des mouvements liés au parcours du patient pour permettre le chaînage de l’information MCO/HAD. Dans le cadre du schéma cible, afin de ne pas freiner la montée en charge du dispositif, </w:t>
                              </w:r>
                              <w:r>
                                <w:rPr>
                                  <w:rStyle w:val="lev"/>
                                  <w:rFonts w:ascii="Arial" w:eastAsia="Times New Roman" w:hAnsi="Arial" w:cs="Arial"/>
                                  <w:i/>
                                  <w:iCs/>
                                  <w:color w:val="333333"/>
                                  <w:sz w:val="21"/>
                                  <w:szCs w:val="21"/>
                                  <w:u w:val="single"/>
                                </w:rPr>
                                <w:t>la neutralisation éventuelle</w:t>
                              </w:r>
                              <w:r>
                                <w:rPr>
                                  <w:rStyle w:val="Accentuation"/>
                                  <w:rFonts w:ascii="Arial" w:eastAsia="Times New Roman" w:hAnsi="Arial" w:cs="Arial"/>
                                  <w:color w:val="333333"/>
                                  <w:sz w:val="21"/>
                                  <w:szCs w:val="21"/>
                                </w:rPr>
                                <w:t xml:space="preserve"> de l’impact des bornes basses dans le modèle de tarification </w:t>
                              </w:r>
                              <w:r>
                                <w:rPr>
                                  <w:rStyle w:val="lev"/>
                                  <w:rFonts w:ascii="Arial" w:eastAsia="Times New Roman" w:hAnsi="Arial" w:cs="Arial"/>
                                  <w:i/>
                                  <w:iCs/>
                                  <w:color w:val="333333"/>
                                  <w:sz w:val="21"/>
                                  <w:szCs w:val="21"/>
                                  <w:u w:val="single"/>
                                </w:rPr>
                                <w:t>sera étudiée</w:t>
                              </w:r>
                              <w:r>
                                <w:rPr>
                                  <w:rStyle w:val="Accentuation"/>
                                  <w:rFonts w:ascii="Arial" w:eastAsia="Times New Roman" w:hAnsi="Arial" w:cs="Arial"/>
                                  <w:color w:val="333333"/>
                                  <w:sz w:val="21"/>
                                  <w:szCs w:val="21"/>
                                </w:rPr>
                                <w:t xml:space="preserve"> pour les séjours concernés. »</w:t>
                              </w:r>
                              <w:r>
                                <w:rPr>
                                  <w:rFonts w:ascii="Arial" w:eastAsia="Times New Roman" w:hAnsi="Arial" w:cs="Arial"/>
                                  <w:color w:val="333333"/>
                                  <w:sz w:val="21"/>
                                  <w:szCs w:val="21"/>
                                </w:rPr>
                                <w:br/>
                                <w:t> </w:t>
                              </w:r>
                            </w:p>
                            <w:p w:rsidR="008A4303" w:rsidRDefault="008A4303">
                              <w:pPr>
                                <w:rPr>
                                  <w:rFonts w:ascii="Arial" w:eastAsia="Times New Roman" w:hAnsi="Arial" w:cs="Arial"/>
                                  <w:color w:val="333333"/>
                                  <w:sz w:val="21"/>
                                  <w:szCs w:val="21"/>
                                </w:rPr>
                              </w:pPr>
                              <w:r>
                                <w:rPr>
                                  <w:rStyle w:val="lev"/>
                                  <w:rFonts w:ascii="Arial" w:eastAsia="Times New Roman" w:hAnsi="Arial" w:cs="Arial"/>
                                  <w:color w:val="333333"/>
                                  <w:sz w:val="21"/>
                                  <w:szCs w:val="21"/>
                                  <w:u w:val="single"/>
                                </w:rPr>
                                <w:t>3° Une lisibilité et visibilité tarifaire MCO inexistantes à terme</w:t>
                              </w:r>
                            </w:p>
                            <w:p w:rsidR="008A4303" w:rsidRDefault="008A4303" w:rsidP="008A4303">
                              <w:pPr>
                                <w:rPr>
                                  <w:rFonts w:ascii="Arial" w:eastAsia="Times New Roman" w:hAnsi="Arial" w:cs="Arial"/>
                                  <w:color w:val="333333"/>
                                  <w:sz w:val="21"/>
                                  <w:szCs w:val="21"/>
                                </w:rPr>
                              </w:pPr>
                              <w:r>
                                <w:rPr>
                                  <w:rFonts w:ascii="Arial" w:eastAsia="Times New Roman" w:hAnsi="Arial" w:cs="Arial"/>
                                  <w:color w:val="333333"/>
                                  <w:sz w:val="21"/>
                                  <w:szCs w:val="21"/>
                                </w:rPr>
                                <w:t> </w:t>
                              </w:r>
                              <w:r>
                                <w:rPr>
                                  <w:rFonts w:ascii="Arial" w:eastAsia="Times New Roman" w:hAnsi="Arial" w:cs="Arial"/>
                                  <w:color w:val="333333"/>
                                  <w:sz w:val="21"/>
                                  <w:szCs w:val="21"/>
                                </w:rPr>
                                <w:br/>
                                <w:t>Les premières séances de travail qui on</w:t>
                              </w:r>
                              <w:bookmarkStart w:id="0" w:name="_GoBack"/>
                              <w:bookmarkEnd w:id="0"/>
                              <w:r>
                                <w:rPr>
                                  <w:rFonts w:ascii="Arial" w:eastAsia="Times New Roman" w:hAnsi="Arial" w:cs="Arial"/>
                                  <w:color w:val="333333"/>
                                  <w:sz w:val="21"/>
                                  <w:szCs w:val="21"/>
                                </w:rPr>
                                <w:t>t eu lieu sur ce sujet laissent clairement craindre une raréfaction tarifaire dans des conditions non définies sur le plan méthodologique et sur sa mise en œuvre.</w:t>
                              </w:r>
                              <w:r>
                                <w:rPr>
                                  <w:rFonts w:ascii="Arial" w:eastAsia="Times New Roman" w:hAnsi="Arial" w:cs="Arial"/>
                                  <w:color w:val="333333"/>
                                  <w:sz w:val="21"/>
                                  <w:szCs w:val="21"/>
                                </w:rPr>
                                <w:br/>
                                <w:t> </w:t>
                              </w:r>
                            </w:p>
                            <w:p w:rsidR="008A4303" w:rsidRDefault="008A4303">
                              <w:pPr>
                                <w:jc w:val="center"/>
                                <w:rPr>
                                  <w:rFonts w:ascii="Arial" w:eastAsia="Times New Roman" w:hAnsi="Arial" w:cs="Arial"/>
                                  <w:color w:val="333333"/>
                                  <w:sz w:val="21"/>
                                  <w:szCs w:val="21"/>
                                </w:rPr>
                              </w:pPr>
                              <w:r>
                                <w:rPr>
                                  <w:rStyle w:val="lev"/>
                                  <w:rFonts w:ascii="Arial" w:eastAsia="Times New Roman" w:hAnsi="Arial" w:cs="Arial"/>
                                  <w:color w:val="333333"/>
                                  <w:sz w:val="21"/>
                                  <w:szCs w:val="21"/>
                                  <w:u w:val="single"/>
                                </w:rPr>
                                <w:t>Pour toutes ces trois motivations</w:t>
                              </w:r>
                              <w:r>
                                <w:rPr>
                                  <w:rFonts w:ascii="Arial" w:eastAsia="Times New Roman" w:hAnsi="Arial" w:cs="Arial"/>
                                  <w:color w:val="333333"/>
                                  <w:sz w:val="21"/>
                                  <w:szCs w:val="21"/>
                                </w:rPr>
                                <w:br/>
                              </w:r>
                              <w:r>
                                <w:rPr>
                                  <w:rStyle w:val="lev"/>
                                  <w:rFonts w:ascii="Arial" w:eastAsia="Times New Roman" w:hAnsi="Arial" w:cs="Arial"/>
                                  <w:color w:val="333333"/>
                                  <w:sz w:val="21"/>
                                  <w:szCs w:val="21"/>
                                  <w:u w:val="single"/>
                                </w:rPr>
                                <w:t>&amp;</w:t>
                              </w:r>
                              <w:r>
                                <w:rPr>
                                  <w:rFonts w:ascii="Arial" w:eastAsia="Times New Roman" w:hAnsi="Arial" w:cs="Arial"/>
                                  <w:color w:val="333333"/>
                                  <w:sz w:val="21"/>
                                  <w:szCs w:val="21"/>
                                </w:rPr>
                                <w:br/>
                              </w:r>
                              <w:r>
                                <w:rPr>
                                  <w:rStyle w:val="lev"/>
                                  <w:rFonts w:ascii="Arial" w:eastAsia="Times New Roman" w:hAnsi="Arial" w:cs="Arial"/>
                                  <w:color w:val="333333"/>
                                  <w:sz w:val="21"/>
                                  <w:szCs w:val="21"/>
                                  <w:u w:val="single"/>
                                </w:rPr>
                                <w:t>Afin de dire non aux injonctions contradictoires répétées…</w:t>
                              </w:r>
                              <w:r>
                                <w:rPr>
                                  <w:rFonts w:ascii="Arial" w:eastAsia="Times New Roman" w:hAnsi="Arial" w:cs="Arial"/>
                                  <w:color w:val="333333"/>
                                  <w:sz w:val="21"/>
                                  <w:szCs w:val="21"/>
                                </w:rPr>
                                <w:br/>
                              </w:r>
                              <w:r>
                                <w:rPr>
                                  <w:rFonts w:ascii="Arial" w:eastAsia="Times New Roman" w:hAnsi="Arial" w:cs="Arial"/>
                                  <w:color w:val="333333"/>
                                  <w:sz w:val="21"/>
                                  <w:szCs w:val="21"/>
                                </w:rPr>
                                <w:lastRenderedPageBreak/>
                                <w:t> </w:t>
                              </w:r>
                              <w:r>
                                <w:rPr>
                                  <w:rFonts w:ascii="Arial" w:eastAsia="Times New Roman" w:hAnsi="Arial" w:cs="Arial"/>
                                  <w:color w:val="333333"/>
                                  <w:sz w:val="21"/>
                                  <w:szCs w:val="21"/>
                                </w:rPr>
                                <w:br/>
                              </w:r>
                              <w:r>
                                <w:rPr>
                                  <w:rStyle w:val="lev"/>
                                  <w:rFonts w:ascii="Arial" w:eastAsia="Times New Roman" w:hAnsi="Arial" w:cs="Arial"/>
                                  <w:color w:val="333333"/>
                                  <w:sz w:val="21"/>
                                  <w:szCs w:val="21"/>
                                  <w:u w:val="single"/>
                                </w:rPr>
                                <w:t>Le Conseil d’Administration FHP-MCO recommande de ne pas participer</w:t>
                              </w:r>
                              <w:r>
                                <w:rPr>
                                  <w:rFonts w:ascii="Arial" w:eastAsia="Times New Roman" w:hAnsi="Arial" w:cs="Arial"/>
                                  <w:color w:val="333333"/>
                                  <w:sz w:val="21"/>
                                  <w:szCs w:val="21"/>
                                </w:rPr>
                                <w:br/>
                              </w:r>
                              <w:r>
                                <w:rPr>
                                  <w:rStyle w:val="lev"/>
                                  <w:rFonts w:ascii="Arial" w:eastAsia="Times New Roman" w:hAnsi="Arial" w:cs="Arial"/>
                                  <w:color w:val="333333"/>
                                  <w:sz w:val="21"/>
                                  <w:szCs w:val="21"/>
                                  <w:u w:val="single"/>
                                </w:rPr>
                                <w:t>à l’appel à candidature « HAD Post chirurgie »</w:t>
                              </w:r>
                            </w:p>
                          </w:tc>
                        </w:tr>
                      </w:tbl>
                      <w:p w:rsidR="008A4303" w:rsidRDefault="008A4303">
                        <w:pPr>
                          <w:pStyle w:val="NormalWeb"/>
                          <w:spacing w:before="150" w:beforeAutospacing="0" w:after="150" w:afterAutospacing="0"/>
                          <w:rPr>
                            <w:rFonts w:ascii="Arial" w:hAnsi="Arial" w:cs="Arial"/>
                            <w:color w:val="333333"/>
                            <w:sz w:val="21"/>
                            <w:szCs w:val="21"/>
                          </w:rPr>
                        </w:pPr>
                        <w:r>
                          <w:rPr>
                            <w:rFonts w:ascii="Arial" w:hAnsi="Arial" w:cs="Arial"/>
                            <w:color w:val="333333"/>
                            <w:sz w:val="21"/>
                            <w:szCs w:val="21"/>
                          </w:rPr>
                          <w:lastRenderedPageBreak/>
                          <w:t xml:space="preserve">Restant à votre écoute, </w:t>
                        </w:r>
                      </w:p>
                      <w:p w:rsidR="008A4303" w:rsidRDefault="008A4303">
                        <w:pPr>
                          <w:pStyle w:val="NormalWeb"/>
                          <w:spacing w:before="150" w:beforeAutospacing="0" w:after="150" w:afterAutospacing="0"/>
                          <w:rPr>
                            <w:rFonts w:ascii="Arial" w:hAnsi="Arial" w:cs="Arial"/>
                            <w:color w:val="333333"/>
                            <w:sz w:val="21"/>
                            <w:szCs w:val="21"/>
                          </w:rPr>
                        </w:pPr>
                        <w:r>
                          <w:rPr>
                            <w:rFonts w:ascii="Arial" w:hAnsi="Arial" w:cs="Arial"/>
                            <w:color w:val="333333"/>
                            <w:sz w:val="21"/>
                            <w:szCs w:val="21"/>
                          </w:rPr>
                          <w:t xml:space="preserve">Bien cordialement, </w:t>
                        </w:r>
                      </w:p>
                      <w:p w:rsidR="008A4303" w:rsidRDefault="008A4303">
                        <w:pPr>
                          <w:pStyle w:val="NormalWeb"/>
                          <w:spacing w:before="150" w:beforeAutospacing="0" w:after="150" w:afterAutospacing="0"/>
                          <w:rPr>
                            <w:rFonts w:ascii="Arial" w:hAnsi="Arial" w:cs="Arial"/>
                            <w:color w:val="333333"/>
                            <w:sz w:val="21"/>
                            <w:szCs w:val="21"/>
                          </w:rPr>
                        </w:pPr>
                        <w:r>
                          <w:rPr>
                            <w:rStyle w:val="lev"/>
                            <w:rFonts w:ascii="Arial" w:hAnsi="Arial" w:cs="Arial"/>
                            <w:color w:val="333333"/>
                            <w:sz w:val="21"/>
                            <w:szCs w:val="21"/>
                          </w:rPr>
                          <w:t>Thierry BECHU</w:t>
                        </w:r>
                        <w:r>
                          <w:rPr>
                            <w:rFonts w:ascii="Arial" w:hAnsi="Arial" w:cs="Arial"/>
                            <w:b/>
                            <w:bCs/>
                            <w:color w:val="333333"/>
                            <w:sz w:val="21"/>
                            <w:szCs w:val="21"/>
                          </w:rPr>
                          <w:br/>
                        </w:r>
                        <w:r>
                          <w:rPr>
                            <w:rStyle w:val="lev"/>
                            <w:rFonts w:ascii="Arial" w:hAnsi="Arial" w:cs="Arial"/>
                            <w:color w:val="333333"/>
                            <w:sz w:val="21"/>
                            <w:szCs w:val="21"/>
                          </w:rPr>
                          <w:t>Délégué Général du syndicat national FHP-MCO</w:t>
                        </w:r>
                        <w:r>
                          <w:rPr>
                            <w:rFonts w:ascii="Arial" w:hAnsi="Arial" w:cs="Arial"/>
                            <w:color w:val="333333"/>
                            <w:sz w:val="21"/>
                            <w:szCs w:val="21"/>
                          </w:rPr>
                          <w:t xml:space="preserve"> </w:t>
                        </w:r>
                      </w:p>
                      <w:p w:rsidR="008A4303" w:rsidRDefault="008A4303">
                        <w:pPr>
                          <w:pStyle w:val="NormalWeb"/>
                          <w:spacing w:before="150" w:beforeAutospacing="0" w:after="150" w:afterAutospacing="0"/>
                          <w:rPr>
                            <w:rFonts w:ascii="Arial" w:hAnsi="Arial" w:cs="Arial"/>
                            <w:color w:val="333333"/>
                            <w:sz w:val="21"/>
                            <w:szCs w:val="21"/>
                          </w:rPr>
                        </w:pPr>
                        <w:r>
                          <w:rPr>
                            <w:rFonts w:ascii="Arial" w:hAnsi="Arial" w:cs="Arial"/>
                            <w:color w:val="333333"/>
                            <w:sz w:val="21"/>
                            <w:szCs w:val="21"/>
                          </w:rPr>
                          <w:t> </w:t>
                        </w:r>
                      </w:p>
                      <w:p w:rsidR="008A4303" w:rsidRDefault="008A4303">
                        <w:pPr>
                          <w:pStyle w:val="Titre2"/>
                          <w:rPr>
                            <w:rFonts w:ascii="Arial" w:eastAsia="Times New Roman" w:hAnsi="Arial" w:cs="Arial"/>
                          </w:rPr>
                        </w:pPr>
                        <w:r>
                          <w:rPr>
                            <w:rFonts w:ascii="Arial" w:eastAsia="Times New Roman" w:hAnsi="Arial" w:cs="Arial"/>
                          </w:rPr>
                          <w:t>A télécharger</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00"/>
                        </w:tblGrid>
                        <w:tr w:rsidR="008A4303">
                          <w:trPr>
                            <w:tblCellSpacing w:w="0" w:type="dxa"/>
                          </w:trPr>
                          <w:tc>
                            <w:tcPr>
                              <w:tcW w:w="0" w:type="auto"/>
                              <w:shd w:val="clear" w:color="auto" w:fill="FFFFFF"/>
                              <w:vAlign w:val="center"/>
                              <w:hideMark/>
                            </w:tcPr>
                            <w:p w:rsidR="008A4303" w:rsidRDefault="008A4303">
                              <w:pPr>
                                <w:pStyle w:val="NormalWeb"/>
                                <w:rPr>
                                  <w:rFonts w:ascii="Arial" w:hAnsi="Arial" w:cs="Arial"/>
                                  <w:color w:val="333333"/>
                                  <w:sz w:val="21"/>
                                  <w:szCs w:val="21"/>
                                </w:rPr>
                              </w:pPr>
                              <w:hyperlink r:id="rId10" w:tgtFrame="_blank" w:history="1">
                                <w:r>
                                  <w:rPr>
                                    <w:rStyle w:val="Lienhypertexte"/>
                                    <w:rFonts w:ascii="Arial" w:hAnsi="Arial" w:cs="Arial"/>
                                    <w:color w:val="FF5800"/>
                                    <w:sz w:val="21"/>
                                    <w:szCs w:val="21"/>
                                  </w:rPr>
                                  <w:t>INSTRUCTION N° DGOS/R4/R3/2016/185 du 6 juin 2016 relative au dispositif de sortie précoce de chirurgie par mobilisation de l’hospitalisation à domicile</w:t>
                                </w:r>
                              </w:hyperlink>
                              <w:r>
                                <w:rPr>
                                  <w:rFonts w:ascii="Arial" w:hAnsi="Arial" w:cs="Arial"/>
                                  <w:color w:val="333333"/>
                                  <w:sz w:val="21"/>
                                  <w:szCs w:val="21"/>
                                </w:rPr>
                                <w:br/>
                              </w:r>
                              <w:r>
                                <w:rPr>
                                  <w:rFonts w:ascii="Arial" w:hAnsi="Arial" w:cs="Arial"/>
                                  <w:color w:val="333333"/>
                                  <w:sz w:val="21"/>
                                  <w:szCs w:val="21"/>
                                </w:rPr>
                                <w:br/>
                              </w:r>
                              <w:hyperlink r:id="rId11" w:tgtFrame="_blank" w:history="1">
                                <w:r>
                                  <w:rPr>
                                    <w:rStyle w:val="Lienhypertexte"/>
                                    <w:rFonts w:ascii="Arial" w:hAnsi="Arial" w:cs="Arial"/>
                                    <w:color w:val="FF5800"/>
                                    <w:sz w:val="21"/>
                                    <w:szCs w:val="21"/>
                                  </w:rPr>
                                  <w:t>INSTRUCTION N° DGOS/R3/2015/296 du 28 septembre 2015 relative aux objectifs et orientations stratégiques du programme national de développement de la chirurgie ambulatoire pour la période 2015-2020</w:t>
                                </w:r>
                              </w:hyperlink>
                              <w:r>
                                <w:rPr>
                                  <w:rFonts w:ascii="Arial" w:hAnsi="Arial" w:cs="Arial"/>
                                  <w:color w:val="333333"/>
                                  <w:sz w:val="21"/>
                                  <w:szCs w:val="21"/>
                                </w:rPr>
                                <w:br/>
                              </w:r>
                              <w:r>
                                <w:rPr>
                                  <w:rFonts w:ascii="Arial" w:hAnsi="Arial" w:cs="Arial"/>
                                  <w:color w:val="333333"/>
                                  <w:sz w:val="21"/>
                                  <w:szCs w:val="21"/>
                                </w:rPr>
                                <w:br/>
                              </w:r>
                              <w:hyperlink r:id="rId12" w:tgtFrame="_blank" w:history="1">
                                <w:r>
                                  <w:rPr>
                                    <w:rStyle w:val="Lienhypertexte"/>
                                    <w:rFonts w:ascii="Arial" w:hAnsi="Arial" w:cs="Arial"/>
                                    <w:color w:val="FF5800"/>
                                    <w:sz w:val="21"/>
                                    <w:szCs w:val="21"/>
                                  </w:rPr>
                                  <w:t>Liste des 55 gestes</w:t>
                                </w:r>
                              </w:hyperlink>
                            </w:p>
                          </w:tc>
                        </w:tr>
                      </w:tbl>
                      <w:p w:rsidR="008A4303" w:rsidRDefault="008A4303">
                        <w:pPr>
                          <w:pStyle w:val="NormalWeb"/>
                          <w:spacing w:before="150" w:beforeAutospacing="0" w:after="150" w:afterAutospacing="0"/>
                          <w:rPr>
                            <w:rFonts w:ascii="Arial" w:hAnsi="Arial" w:cs="Arial"/>
                            <w:color w:val="333333"/>
                            <w:sz w:val="21"/>
                            <w:szCs w:val="21"/>
                          </w:rPr>
                        </w:pPr>
                        <w:r>
                          <w:rPr>
                            <w:rFonts w:ascii="Arial" w:hAnsi="Arial" w:cs="Arial"/>
                            <w:color w:val="333333"/>
                            <w:sz w:val="21"/>
                            <w:szCs w:val="21"/>
                          </w:rPr>
                          <w:t> </w:t>
                        </w:r>
                      </w:p>
                      <w:p w:rsidR="008A4303" w:rsidRDefault="008A4303">
                        <w:pPr>
                          <w:pStyle w:val="NormalWeb"/>
                          <w:rPr>
                            <w:rFonts w:ascii="Arial" w:hAnsi="Arial" w:cs="Arial"/>
                            <w:color w:val="333333"/>
                            <w:sz w:val="21"/>
                            <w:szCs w:val="21"/>
                          </w:rPr>
                        </w:pPr>
                        <w:r>
                          <w:rPr>
                            <w:rFonts w:ascii="Arial" w:hAnsi="Arial" w:cs="Arial"/>
                            <w:noProof/>
                            <w:color w:val="333333"/>
                            <w:sz w:val="21"/>
                            <w:szCs w:val="21"/>
                          </w:rPr>
                          <w:drawing>
                            <wp:inline distT="0" distB="0" distL="0" distR="0">
                              <wp:extent cx="5334000" cy="38100"/>
                              <wp:effectExtent l="0" t="0" r="0" b="0"/>
                              <wp:docPr id="2" name="Image 2" descr="https://gallery.mailchimp.com/2a4e107bdb889257de64b14d0/images/44b9fea1-7e41-41eb-8eb8-18320221b6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2a4e107bdb889257de64b14d0/images/44b9fea1-7e41-41eb-8eb8-18320221b6f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8100"/>
                                      </a:xfrm>
                                      <a:prstGeom prst="rect">
                                        <a:avLst/>
                                      </a:prstGeom>
                                      <a:noFill/>
                                      <a:ln>
                                        <a:noFill/>
                                      </a:ln>
                                    </pic:spPr>
                                  </pic:pic>
                                </a:graphicData>
                              </a:graphic>
                            </wp:inline>
                          </w:drawing>
                        </w:r>
                      </w:p>
                      <w:p w:rsidR="008A4303" w:rsidRDefault="008A4303">
                        <w:pPr>
                          <w:pStyle w:val="NormalWeb"/>
                          <w:spacing w:before="150" w:beforeAutospacing="0" w:after="150" w:afterAutospacing="0"/>
                          <w:rPr>
                            <w:rFonts w:ascii="Arial" w:hAnsi="Arial" w:cs="Arial"/>
                            <w:color w:val="333333"/>
                            <w:sz w:val="21"/>
                            <w:szCs w:val="21"/>
                          </w:rPr>
                        </w:pPr>
                        <w:r>
                          <w:rPr>
                            <w:rFonts w:ascii="Arial" w:hAnsi="Arial" w:cs="Arial"/>
                            <w:color w:val="333333"/>
                            <w:sz w:val="21"/>
                            <w:szCs w:val="21"/>
                          </w:rPr>
                          <w:t>Fédération de l'Hospitalisation Privée, Médecine Chirurgie Obstétrique</w:t>
                        </w:r>
                        <w:r>
                          <w:rPr>
                            <w:rFonts w:ascii="Arial" w:hAnsi="Arial" w:cs="Arial"/>
                            <w:color w:val="333333"/>
                            <w:sz w:val="21"/>
                            <w:szCs w:val="21"/>
                          </w:rPr>
                          <w:br/>
                          <w:t xml:space="preserve">106, rue d'Amsterdam, 75009 Paris, </w:t>
                        </w:r>
                        <w:r>
                          <w:rPr>
                            <w:rFonts w:ascii="Arial" w:hAnsi="Arial" w:cs="Arial"/>
                            <w:color w:val="333333"/>
                            <w:sz w:val="21"/>
                            <w:szCs w:val="21"/>
                          </w:rPr>
                          <w:br/>
                        </w:r>
                        <w:r>
                          <w:rPr>
                            <w:rStyle w:val="lev"/>
                            <w:rFonts w:ascii="Arial" w:hAnsi="Arial" w:cs="Arial"/>
                            <w:color w:val="333333"/>
                            <w:sz w:val="21"/>
                            <w:szCs w:val="21"/>
                          </w:rPr>
                          <w:t>Tel :</w:t>
                        </w:r>
                        <w:r>
                          <w:rPr>
                            <w:rFonts w:ascii="Arial" w:hAnsi="Arial" w:cs="Arial"/>
                            <w:color w:val="333333"/>
                            <w:sz w:val="21"/>
                            <w:szCs w:val="21"/>
                          </w:rPr>
                          <w:t xml:space="preserve"> 01 53 83 56 87 </w:t>
                        </w:r>
                        <w:r>
                          <w:rPr>
                            <w:rStyle w:val="lev"/>
                            <w:rFonts w:ascii="Arial" w:hAnsi="Arial" w:cs="Arial"/>
                            <w:color w:val="333333"/>
                            <w:sz w:val="21"/>
                            <w:szCs w:val="21"/>
                          </w:rPr>
                          <w:t>Fax :</w:t>
                        </w:r>
                        <w:r>
                          <w:rPr>
                            <w:rFonts w:ascii="Arial" w:hAnsi="Arial" w:cs="Arial"/>
                            <w:color w:val="333333"/>
                            <w:sz w:val="21"/>
                            <w:szCs w:val="21"/>
                          </w:rPr>
                          <w:t xml:space="preserve"> 01 53 83 56 69 </w:t>
                        </w:r>
                      </w:p>
                      <w:p w:rsidR="008A4303" w:rsidRDefault="008A4303">
                        <w:pPr>
                          <w:pStyle w:val="NormalWeb"/>
                          <w:spacing w:before="0" w:beforeAutospacing="0" w:after="0" w:afterAutospacing="0"/>
                          <w:rPr>
                            <w:rFonts w:ascii="Arial" w:hAnsi="Arial" w:cs="Arial"/>
                            <w:color w:val="333333"/>
                            <w:sz w:val="21"/>
                            <w:szCs w:val="21"/>
                          </w:rPr>
                        </w:pPr>
                        <w:hyperlink r:id="rId14" w:history="1">
                          <w:r>
                            <w:rPr>
                              <w:rStyle w:val="Lienhypertexte"/>
                              <w:rFonts w:ascii="Arial" w:hAnsi="Arial" w:cs="Arial"/>
                              <w:color w:val="FF5800"/>
                              <w:sz w:val="21"/>
                              <w:szCs w:val="21"/>
                            </w:rPr>
                            <w:t>http://www.fhpmco.fr</w:t>
                          </w:r>
                        </w:hyperlink>
                        <w:r>
                          <w:rPr>
                            <w:rFonts w:ascii="Arial" w:hAnsi="Arial" w:cs="Arial"/>
                            <w:color w:val="333333"/>
                            <w:sz w:val="21"/>
                            <w:szCs w:val="21"/>
                          </w:rPr>
                          <w:br/>
                        </w:r>
                        <w:hyperlink r:id="rId15" w:history="1">
                          <w:r>
                            <w:rPr>
                              <w:rStyle w:val="Lienhypertexte"/>
                              <w:rFonts w:ascii="Arial" w:hAnsi="Arial" w:cs="Arial"/>
                              <w:color w:val="FF5800"/>
                              <w:sz w:val="21"/>
                              <w:szCs w:val="21"/>
                            </w:rPr>
                            <w:t>http://twitter.com/fhpmco</w:t>
                          </w:r>
                        </w:hyperlink>
                        <w:r>
                          <w:rPr>
                            <w:rFonts w:ascii="Arial" w:hAnsi="Arial" w:cs="Arial"/>
                            <w:color w:val="333333"/>
                            <w:sz w:val="21"/>
                            <w:szCs w:val="21"/>
                          </w:rPr>
                          <w:br/>
                        </w:r>
                        <w:hyperlink r:id="rId16" w:history="1">
                          <w:r>
                            <w:rPr>
                              <w:rStyle w:val="Lienhypertexte"/>
                              <w:rFonts w:ascii="Arial" w:hAnsi="Arial" w:cs="Arial"/>
                              <w:color w:val="FF5800"/>
                              <w:sz w:val="21"/>
                              <w:szCs w:val="21"/>
                            </w:rPr>
                            <w:t>http://leblogdupresident.fhpmco.fr</w:t>
                          </w:r>
                        </w:hyperlink>
                        <w:r>
                          <w:rPr>
                            <w:rFonts w:ascii="Arial" w:hAnsi="Arial" w:cs="Arial"/>
                            <w:color w:val="333333"/>
                            <w:sz w:val="21"/>
                            <w:szCs w:val="21"/>
                          </w:rPr>
                          <w:br/>
                        </w:r>
                        <w:hyperlink r:id="rId17" w:history="1">
                          <w:r>
                            <w:rPr>
                              <w:rStyle w:val="Lienhypertexte"/>
                              <w:rFonts w:ascii="Arial" w:hAnsi="Arial" w:cs="Arial"/>
                              <w:color w:val="FF5800"/>
                              <w:sz w:val="21"/>
                              <w:szCs w:val="21"/>
                            </w:rPr>
                            <w:t>http://www.youtube.com/fhpmco</w:t>
                          </w:r>
                        </w:hyperlink>
                        <w:r>
                          <w:rPr>
                            <w:rFonts w:ascii="Arial" w:hAnsi="Arial" w:cs="Arial"/>
                            <w:color w:val="333333"/>
                            <w:sz w:val="21"/>
                            <w:szCs w:val="21"/>
                          </w:rPr>
                          <w:t xml:space="preserve"> </w:t>
                        </w:r>
                      </w:p>
                    </w:tc>
                    <w:tc>
                      <w:tcPr>
                        <w:tcW w:w="300" w:type="dxa"/>
                        <w:shd w:val="clear" w:color="auto" w:fill="FFFFFF"/>
                        <w:hideMark/>
                      </w:tcPr>
                      <w:p w:rsidR="008A4303" w:rsidRDefault="008A4303">
                        <w:pPr>
                          <w:rPr>
                            <w:rFonts w:ascii="Arial" w:hAnsi="Arial" w:cs="Arial"/>
                            <w:color w:val="333333"/>
                            <w:sz w:val="21"/>
                            <w:szCs w:val="21"/>
                          </w:rPr>
                        </w:pPr>
                      </w:p>
                    </w:tc>
                  </w:tr>
                  <w:tr w:rsidR="008A4303">
                    <w:trPr>
                      <w:trHeight w:val="300"/>
                      <w:tblCellSpacing w:w="0" w:type="dxa"/>
                    </w:trPr>
                    <w:tc>
                      <w:tcPr>
                        <w:tcW w:w="0" w:type="auto"/>
                        <w:shd w:val="clear" w:color="auto" w:fill="FFFFFF"/>
                        <w:hideMark/>
                      </w:tcPr>
                      <w:p w:rsidR="008A4303" w:rsidRDefault="008A4303">
                        <w:pPr>
                          <w:rPr>
                            <w:rFonts w:eastAsia="Times New Roman"/>
                            <w:sz w:val="20"/>
                            <w:szCs w:val="20"/>
                          </w:rPr>
                        </w:pPr>
                      </w:p>
                    </w:tc>
                    <w:tc>
                      <w:tcPr>
                        <w:tcW w:w="0" w:type="auto"/>
                        <w:shd w:val="clear" w:color="auto" w:fill="FFFFFF"/>
                        <w:hideMark/>
                      </w:tcPr>
                      <w:p w:rsidR="008A4303" w:rsidRDefault="008A4303">
                        <w:pPr>
                          <w:rPr>
                            <w:rFonts w:eastAsia="Times New Roman"/>
                            <w:sz w:val="20"/>
                            <w:szCs w:val="20"/>
                          </w:rPr>
                        </w:pPr>
                      </w:p>
                    </w:tc>
                    <w:tc>
                      <w:tcPr>
                        <w:tcW w:w="0" w:type="auto"/>
                        <w:shd w:val="clear" w:color="auto" w:fill="FFFFFF"/>
                        <w:hideMark/>
                      </w:tcPr>
                      <w:p w:rsidR="008A4303" w:rsidRDefault="008A4303">
                        <w:pPr>
                          <w:rPr>
                            <w:rFonts w:eastAsia="Times New Roman"/>
                            <w:sz w:val="20"/>
                            <w:szCs w:val="20"/>
                          </w:rPr>
                        </w:pPr>
                      </w:p>
                    </w:tc>
                  </w:tr>
                </w:tbl>
                <w:p w:rsidR="008A4303" w:rsidRDefault="008A4303">
                  <w:pPr>
                    <w:rPr>
                      <w:rFonts w:eastAsia="Times New Roman"/>
                      <w:sz w:val="20"/>
                      <w:szCs w:val="20"/>
                    </w:rPr>
                  </w:pPr>
                </w:p>
              </w:tc>
            </w:tr>
          </w:tbl>
          <w:p w:rsidR="008A4303" w:rsidRDefault="008A4303">
            <w:pPr>
              <w:pStyle w:val="NormalWeb"/>
              <w:shd w:val="clear" w:color="auto" w:fill="EEEEEE"/>
              <w:spacing w:line="0" w:lineRule="auto"/>
              <w:jc w:val="center"/>
              <w:rPr>
                <w:sz w:val="17"/>
                <w:szCs w:val="17"/>
              </w:rPr>
            </w:pPr>
            <w:r>
              <w:rPr>
                <w:rStyle w:val="Accentuation"/>
                <w:sz w:val="17"/>
                <w:szCs w:val="17"/>
              </w:rPr>
              <w:lastRenderedPageBreak/>
              <w:t>Copyright © 2016 FHP MCO, Tous droits réservés.</w:t>
            </w:r>
          </w:p>
          <w:p w:rsidR="008A4303" w:rsidRDefault="008A4303">
            <w:pPr>
              <w:pStyle w:val="NormalWeb"/>
              <w:jc w:val="center"/>
              <w:rPr>
                <w:sz w:val="17"/>
                <w:szCs w:val="17"/>
              </w:rPr>
            </w:pPr>
            <w:hyperlink r:id="rId18" w:history="1">
              <w:r>
                <w:rPr>
                  <w:rStyle w:val="Lienhypertexte"/>
                  <w:color w:val="333333"/>
                  <w:sz w:val="17"/>
                  <w:szCs w:val="17"/>
                </w:rPr>
                <w:t>Ne plus recevoir les dépêches de la FHP MCO</w:t>
              </w:r>
            </w:hyperlink>
          </w:p>
        </w:tc>
      </w:tr>
    </w:tbl>
    <w:p w:rsidR="008A4303" w:rsidRDefault="008A4303" w:rsidP="008A4303">
      <w:pPr>
        <w:rPr>
          <w:rFonts w:eastAsia="Times New Roman"/>
        </w:rPr>
      </w:pPr>
      <w:r>
        <w:rPr>
          <w:rFonts w:eastAsia="Times New Roman"/>
          <w:noProof/>
        </w:rPr>
        <w:lastRenderedPageBreak/>
        <w:drawing>
          <wp:inline distT="0" distB="0" distL="0" distR="0">
            <wp:extent cx="9525" cy="9525"/>
            <wp:effectExtent l="0" t="0" r="0" b="0"/>
            <wp:docPr id="1" name="Image 1" descr="http://fhpmco.us9.list-manage.com/track/open.php?u=2a4e107bdb889257de64b14d0&amp;id=907112fff8&amp;e=8ebe758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hpmco.us9.list-manage.com/track/open.php?u=2a4e107bdb889257de64b14d0&amp;id=907112fff8&amp;e=8ebe758ae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97A0B" w:rsidRDefault="00097A0B"/>
    <w:sectPr w:rsidR="00097A0B" w:rsidSect="008A43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03036"/>
    <w:multiLevelType w:val="multilevel"/>
    <w:tmpl w:val="85965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F3"/>
    <w:rsid w:val="00097A0B"/>
    <w:rsid w:val="008A4303"/>
    <w:rsid w:val="00F97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3A00A-FFFB-47FF-9579-BED12BCC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303"/>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8A4303"/>
    <w:pPr>
      <w:spacing w:before="100" w:beforeAutospacing="1" w:after="100" w:afterAutospacing="1"/>
      <w:outlineLvl w:val="0"/>
    </w:pPr>
    <w:rPr>
      <w:b/>
      <w:bCs/>
      <w:kern w:val="36"/>
      <w:sz w:val="48"/>
      <w:szCs w:val="48"/>
    </w:rPr>
  </w:style>
  <w:style w:type="paragraph" w:styleId="Titre2">
    <w:name w:val="heading 2"/>
    <w:basedOn w:val="Normal"/>
    <w:link w:val="Titre2Car"/>
    <w:uiPriority w:val="9"/>
    <w:semiHidden/>
    <w:unhideWhenUsed/>
    <w:qFormat/>
    <w:rsid w:val="008A4303"/>
    <w:pPr>
      <w:outlineLvl w:val="1"/>
    </w:pPr>
    <w:rPr>
      <w:b/>
      <w:bCs/>
      <w:color w:val="333333"/>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4303"/>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8A4303"/>
    <w:rPr>
      <w:rFonts w:ascii="Times New Roman" w:hAnsi="Times New Roman" w:cs="Times New Roman"/>
      <w:b/>
      <w:bCs/>
      <w:color w:val="333333"/>
      <w:sz w:val="26"/>
      <w:szCs w:val="26"/>
      <w:lang w:eastAsia="fr-FR"/>
    </w:rPr>
  </w:style>
  <w:style w:type="character" w:styleId="Lienhypertexte">
    <w:name w:val="Hyperlink"/>
    <w:basedOn w:val="Policepardfaut"/>
    <w:uiPriority w:val="99"/>
    <w:semiHidden/>
    <w:unhideWhenUsed/>
    <w:rsid w:val="008A4303"/>
    <w:rPr>
      <w:color w:val="0000FF"/>
      <w:u w:val="single"/>
    </w:rPr>
  </w:style>
  <w:style w:type="paragraph" w:styleId="NormalWeb">
    <w:name w:val="Normal (Web)"/>
    <w:basedOn w:val="Normal"/>
    <w:uiPriority w:val="99"/>
    <w:semiHidden/>
    <w:unhideWhenUsed/>
    <w:rsid w:val="008A4303"/>
    <w:pPr>
      <w:spacing w:before="100" w:beforeAutospacing="1" w:after="100" w:afterAutospacing="1"/>
    </w:pPr>
  </w:style>
  <w:style w:type="character" w:styleId="lev">
    <w:name w:val="Strong"/>
    <w:basedOn w:val="Policepardfaut"/>
    <w:uiPriority w:val="22"/>
    <w:qFormat/>
    <w:rsid w:val="008A4303"/>
    <w:rPr>
      <w:b/>
      <w:bCs/>
    </w:rPr>
  </w:style>
  <w:style w:type="character" w:styleId="Accentuation">
    <w:name w:val="Emphasis"/>
    <w:basedOn w:val="Policepardfaut"/>
    <w:uiPriority w:val="20"/>
    <w:qFormat/>
    <w:rsid w:val="008A43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hyperlink" Target="http://fhpmco.us9.list-manage1.com/unsubscribe?u=2a4e107bdb889257de64b14d0&amp;id=8df0da1b7e&amp;e=8ebe758ae7&amp;c=907112fff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fhpmco.us9.list-manage1.com/track/click?u=2a4e107bdb889257de64b14d0&amp;id=28a5d09f41&amp;e=8ebe758ae7" TargetMode="External"/><Relationship Id="rId17" Type="http://schemas.openxmlformats.org/officeDocument/2006/relationships/hyperlink" Target="http://fhpmco.us9.list-manage.com/track/click?u=2a4e107bdb889257de64b14d0&amp;id=93fb30f5a5&amp;e=8ebe758ae7" TargetMode="External"/><Relationship Id="rId2" Type="http://schemas.openxmlformats.org/officeDocument/2006/relationships/styles" Target="styles.xml"/><Relationship Id="rId16" Type="http://schemas.openxmlformats.org/officeDocument/2006/relationships/hyperlink" Target="http://fhpmco.us9.list-manage.com/track/click?u=2a4e107bdb889257de64b14d0&amp;id=03edaa67de&amp;e=8ebe758ae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fhpmco.us9.list-manage.com/track/click?u=2a4e107bdb889257de64b14d0&amp;id=514417805a&amp;e=8ebe758ae7" TargetMode="External"/><Relationship Id="rId5" Type="http://schemas.openxmlformats.org/officeDocument/2006/relationships/hyperlink" Target="http://us9.campaign-archive2.com/?u=2a4e107bdb889257de64b14d0&amp;id=907112fff8&amp;e=8ebe758ae7" TargetMode="External"/><Relationship Id="rId15" Type="http://schemas.openxmlformats.org/officeDocument/2006/relationships/hyperlink" Target="http://fhpmco.us9.list-manage2.com/track/click?u=2a4e107bdb889257de64b14d0&amp;id=942a4e097b&amp;e=8ebe758ae7" TargetMode="External"/><Relationship Id="rId10" Type="http://schemas.openxmlformats.org/officeDocument/2006/relationships/hyperlink" Target="http://fhpmco.us9.list-manage.com/track/click?u=2a4e107bdb889257de64b14d0&amp;id=97fa9bac36&amp;e=8ebe758ae7"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fhpmco.us9.list-manage.com/track/click?u=2a4e107bdb889257de64b14d0&amp;id=c9895d73c9&amp;e=8ebe758ae7" TargetMode="External"/><Relationship Id="rId14" Type="http://schemas.openxmlformats.org/officeDocument/2006/relationships/hyperlink" Target="http://fhpmco.us9.list-manage.com/track/click?u=2a4e107bdb889257de64b14d0&amp;id=c4ecb9261d&amp;e=8ebe758ae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6493</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2016-07-13T09:17:00Z</dcterms:created>
  <dcterms:modified xsi:type="dcterms:W3CDTF">2016-07-13T09:18:00Z</dcterms:modified>
</cp:coreProperties>
</file>