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505D14" w:rsidTr="00505D14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tbl>
            <w:tblPr>
              <w:tblW w:w="97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505D1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505D1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vertAnchor="text"/>
                          <w:tblW w:w="97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50"/>
                        </w:tblGrid>
                        <w:tr w:rsidR="00505D1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450" w:type="dxa"/>
                                <w:left w:w="450" w:type="dxa"/>
                                <w:bottom w:w="450" w:type="dxa"/>
                                <w:right w:w="450" w:type="dxa"/>
                              </w:tcMar>
                            </w:tcPr>
                            <w:p w:rsidR="00505D14" w:rsidRDefault="00505D14">
                              <w:pPr>
                                <w:pStyle w:val="NormalWeb"/>
                                <w:jc w:val="center"/>
                                <w:rPr>
                                  <w:rFonts w:ascii="Arial" w:hAnsi="Arial" w:cs="Arial"/>
                                  <w:color w:val="15406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999999"/>
                                  <w:sz w:val="17"/>
                                  <w:szCs w:val="17"/>
                                </w:rPr>
                                <w:t xml:space="preserve">Flash Info FHP </w:t>
                              </w:r>
                            </w:p>
                            <w:p w:rsidR="00505D14" w:rsidRDefault="00505D14">
                              <w:pPr>
                                <w:pStyle w:val="NormalWeb"/>
                                <w:jc w:val="center"/>
                                <w:rPr>
                                  <w:rStyle w:val="Lienhypertexte"/>
                                  <w:color w:val="3E21FF"/>
                                </w:rPr>
                              </w:pPr>
                              <w:hyperlink r:id="rId5" w:history="1">
                                <w:r>
                                  <w:rPr>
                                    <w:rStyle w:val="Lienhypertexte"/>
                                    <w:rFonts w:ascii="Arial" w:hAnsi="Arial" w:cs="Arial"/>
                                    <w:color w:val="999999"/>
                                    <w:sz w:val="17"/>
                                    <w:szCs w:val="17"/>
                                  </w:rPr>
                                  <w:t>Lire l'email dans votre navigateur.</w:t>
                                </w:r>
                                <w:r>
                                  <w:rPr>
                                    <w:rStyle w:val="Lienhypertexte"/>
                                    <w:rFonts w:ascii="Arial" w:hAnsi="Arial" w:cs="Arial"/>
                                    <w:color w:val="3E21FF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hyperlink>
                            </w:p>
                            <w:p w:rsidR="00505D14" w:rsidRDefault="00505D14">
                              <w:pPr>
                                <w:pStyle w:val="NormalWeb"/>
                                <w:rPr>
                                  <w:color w:val="15406C"/>
                                </w:rPr>
                              </w:pPr>
                            </w:p>
                          </w:tc>
                        </w:tr>
                      </w:tbl>
                      <w:p w:rsidR="00505D14" w:rsidRDefault="00505D1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05D14" w:rsidRDefault="00505D1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05D14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505D1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975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50"/>
                        </w:tblGrid>
                        <w:tr w:rsidR="00505D14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05D14" w:rsidRDefault="00505D14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>
                                    <wp:extent cx="6191250" cy="1838325"/>
                                    <wp:effectExtent l="0" t="0" r="0" b="9525"/>
                                    <wp:docPr id="3" name="Image 3" descr="http://img.fhp.fr/66842/maNrK11UREijLppB14kBdg/image_03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rACrCBvFIrJECEBrHFJIGtGJJwDtrJD" descr="http://img.fhp.fr/66842/maNrK11UREijLppB14kBdg/image_03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191250" cy="1838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05D14" w:rsidRDefault="00505D14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05D14" w:rsidRDefault="00505D14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505D14" w:rsidRDefault="00505D14">
            <w:pPr>
              <w:rPr>
                <w:rFonts w:eastAsia="Times New Roman"/>
                <w:vanish/>
              </w:rPr>
            </w:pPr>
          </w:p>
          <w:tbl>
            <w:tblPr>
              <w:tblW w:w="97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505D1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505D1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vertAnchor="text"/>
                          <w:tblW w:w="97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50"/>
                        </w:tblGrid>
                        <w:tr w:rsidR="00505D1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05D14" w:rsidRDefault="00505D14">
                              <w:pPr>
                                <w:rPr>
                                  <w:rFonts w:ascii="Arial" w:eastAsia="Times New Roman" w:hAnsi="Arial" w:cs="Arial"/>
                                  <w:color w:val="15406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lev"/>
                                  <w:rFonts w:ascii="Arial" w:eastAsia="Times New Roman" w:hAnsi="Arial" w:cs="Arial"/>
                                  <w:color w:val="15406C"/>
                                  <w:sz w:val="18"/>
                                  <w:szCs w:val="18"/>
                                </w:rPr>
                                <w:t>Mardi 19 décembre 2017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15406C"/>
                                  <w:sz w:val="18"/>
                                  <w:szCs w:val="18"/>
                                </w:rPr>
                                <w:br/>
                                <w:t>Réf : -2017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15406C"/>
                                  <w:sz w:val="18"/>
                                  <w:szCs w:val="18"/>
                                </w:rPr>
                                <w:br/>
                                <w:t> 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15406C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lev"/>
                                  <w:rFonts w:ascii="Arial" w:eastAsia="Times New Roman" w:hAnsi="Arial" w:cs="Arial"/>
                                  <w:color w:val="00AFED"/>
                                  <w:sz w:val="21"/>
                                  <w:szCs w:val="21"/>
                                </w:rPr>
                                <w:t>Informations Juridiques</w:t>
                              </w:r>
                            </w:p>
                          </w:tc>
                        </w:tr>
                      </w:tbl>
                      <w:p w:rsidR="00505D14" w:rsidRDefault="00505D1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05D14" w:rsidRDefault="00505D1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05D1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505D1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vertAnchor="text"/>
                          <w:tblW w:w="97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50"/>
                        </w:tblGrid>
                        <w:tr w:rsidR="00505D1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450" w:type="dxa"/>
                                <w:left w:w="450" w:type="dxa"/>
                                <w:bottom w:w="450" w:type="dxa"/>
                                <w:right w:w="450" w:type="dxa"/>
                              </w:tcMar>
                              <w:hideMark/>
                            </w:tcPr>
                            <w:p w:rsidR="00505D14" w:rsidRDefault="00505D14">
                              <w:pPr>
                                <w:pStyle w:val="NormalWeb"/>
                                <w:jc w:val="center"/>
                                <w:rPr>
                                  <w:rFonts w:ascii="Arial" w:hAnsi="Arial" w:cs="Arial"/>
                                  <w:color w:val="15406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lev"/>
                                  <w:rFonts w:ascii="Arial" w:hAnsi="Arial" w:cs="Arial"/>
                                  <w:color w:val="15406C"/>
                                  <w:sz w:val="39"/>
                                  <w:szCs w:val="39"/>
                                </w:rPr>
                                <w:t>Point d'information : CAQES</w:t>
                              </w:r>
                              <w:r>
                                <w:rPr>
                                  <w:rFonts w:ascii="Arial" w:hAnsi="Arial" w:cs="Arial"/>
                                  <w:color w:val="15406C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505D14" w:rsidRDefault="00505D1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05D14" w:rsidRDefault="00505D1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505D14" w:rsidRDefault="00505D14">
            <w:pPr>
              <w:rPr>
                <w:rFonts w:eastAsia="Times New Roman"/>
                <w:vanish/>
              </w:rPr>
            </w:pPr>
          </w:p>
          <w:tbl>
            <w:tblPr>
              <w:tblW w:w="97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505D1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505D1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vertAnchor="text"/>
                          <w:tblW w:w="97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50"/>
                        </w:tblGrid>
                        <w:tr w:rsidR="00505D1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05D14" w:rsidRDefault="00505D14">
                              <w:pPr>
                                <w:rPr>
                                  <w:rFonts w:ascii="Arial" w:eastAsia="Times New Roman" w:hAnsi="Arial" w:cs="Arial"/>
                                  <w:color w:val="15406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15406C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505D14" w:rsidRDefault="00505D1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05D14" w:rsidRDefault="00505D1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05D1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505D1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vertAnchor="text"/>
                          <w:tblW w:w="97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50"/>
                        </w:tblGrid>
                        <w:tr w:rsidR="00505D1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20" w:type="dxa"/>
                                <w:left w:w="120" w:type="dxa"/>
                                <w:bottom w:w="120" w:type="dxa"/>
                                <w:right w:w="120" w:type="dxa"/>
                              </w:tcMar>
                              <w:hideMark/>
                            </w:tcPr>
                            <w:p w:rsidR="00505D14" w:rsidRDefault="00505D14">
                              <w:pPr>
                                <w:rPr>
                                  <w:rFonts w:ascii="Arial" w:eastAsia="Times New Roman" w:hAnsi="Arial" w:cs="Arial"/>
                                  <w:color w:val="15406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15406C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505D14" w:rsidRDefault="00505D1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05D14" w:rsidRDefault="00505D1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505D14" w:rsidRDefault="00505D14">
            <w:pPr>
              <w:rPr>
                <w:rFonts w:eastAsia="Times New Roman"/>
                <w:vanish/>
              </w:rPr>
            </w:pPr>
          </w:p>
          <w:tbl>
            <w:tblPr>
              <w:tblW w:w="97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505D1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505D1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vertAnchor="text"/>
                          <w:tblW w:w="97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50"/>
                        </w:tblGrid>
                        <w:tr w:rsidR="00505D1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05D14" w:rsidRDefault="00505D14">
                              <w:pPr>
                                <w:pStyle w:val="NormalWeb"/>
                                <w:jc w:val="both"/>
                                <w:rPr>
                                  <w:rFonts w:ascii="Arial" w:hAnsi="Arial" w:cs="Arial"/>
                                  <w:color w:val="15406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5406C"/>
                                  <w:sz w:val="21"/>
                                  <w:szCs w:val="21"/>
                                </w:rPr>
                                <w:t xml:space="preserve">Chère Adhérente, Cher Adhérent, </w:t>
                              </w:r>
                            </w:p>
                            <w:p w:rsidR="00505D14" w:rsidRDefault="00505D14">
                              <w:pPr>
                                <w:pStyle w:val="NormalWeb"/>
                                <w:jc w:val="both"/>
                                <w:rPr>
                                  <w:rFonts w:ascii="Arial" w:hAnsi="Arial" w:cs="Arial"/>
                                  <w:color w:val="15406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5406C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505D14" w:rsidRDefault="00505D14">
                              <w:pPr>
                                <w:pStyle w:val="NormalWeb"/>
                                <w:jc w:val="both"/>
                                <w:rPr>
                                  <w:rFonts w:ascii="Arial" w:hAnsi="Arial" w:cs="Arial"/>
                                  <w:color w:val="15406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5406C"/>
                                  <w:sz w:val="21"/>
                                  <w:szCs w:val="21"/>
                                </w:rPr>
                                <w:t xml:space="preserve">Le dispositif CAQES, instauré par l’article 81 de la Loi n° 2015-1702 du 21 décembre 2015 de financement de la sécurité sociale pour 2016, et complété par le décret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15406C"/>
                                  <w:sz w:val="21"/>
                                  <w:szCs w:val="21"/>
                                </w:rPr>
                                <w:t>Caqes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15406C"/>
                                  <w:sz w:val="21"/>
                                  <w:szCs w:val="21"/>
                                </w:rPr>
                                <w:t xml:space="preserve">, l’arrêté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15406C"/>
                                  <w:sz w:val="21"/>
                                  <w:szCs w:val="21"/>
                                </w:rPr>
                                <w:t>Caqes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15406C"/>
                                  <w:sz w:val="21"/>
                                  <w:szCs w:val="21"/>
                                </w:rPr>
                                <w:t xml:space="preserve">, du 27 avril 2017 ainsi que l’instruction CAQES du 26 juillet 2017 a entrainé de nombreux retours de votre part sur les difficultés d’application concrètes sur le terrain. </w:t>
                              </w:r>
                            </w:p>
                            <w:p w:rsidR="00505D14" w:rsidRDefault="00505D14">
                              <w:pPr>
                                <w:pStyle w:val="NormalWeb"/>
                                <w:jc w:val="both"/>
                                <w:rPr>
                                  <w:rFonts w:ascii="Arial" w:hAnsi="Arial" w:cs="Arial"/>
                                  <w:color w:val="15406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5406C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505D14" w:rsidRDefault="00505D14">
                              <w:pPr>
                                <w:pStyle w:val="NormalWeb"/>
                                <w:jc w:val="both"/>
                                <w:rPr>
                                  <w:rFonts w:ascii="Arial" w:hAnsi="Arial" w:cs="Arial"/>
                                  <w:color w:val="15406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5406C"/>
                                  <w:sz w:val="21"/>
                                  <w:szCs w:val="21"/>
                                </w:rPr>
                                <w:t xml:space="preserve">Suite à vos observations, la FHP a conduit plusieurs actions pour sensibiliser le Ministère de la Santé de la difficile application du dispositif. </w:t>
                              </w:r>
                            </w:p>
                            <w:p w:rsidR="00505D14" w:rsidRDefault="00505D14">
                              <w:pPr>
                                <w:pStyle w:val="NormalWeb"/>
                                <w:jc w:val="both"/>
                                <w:rPr>
                                  <w:rFonts w:ascii="Arial" w:hAnsi="Arial" w:cs="Arial"/>
                                  <w:color w:val="15406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5406C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505D14" w:rsidRDefault="00505D14">
                              <w:pPr>
                                <w:pStyle w:val="NormalWeb"/>
                                <w:jc w:val="both"/>
                                <w:rPr>
                                  <w:rFonts w:ascii="Arial" w:hAnsi="Arial" w:cs="Arial"/>
                                  <w:color w:val="15406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lev"/>
                                  <w:rFonts w:ascii="Arial" w:hAnsi="Arial" w:cs="Arial"/>
                                  <w:color w:val="15406C"/>
                                  <w:sz w:val="21"/>
                                  <w:szCs w:val="21"/>
                                </w:rPr>
                                <w:t>Actions de la FHP :</w:t>
                              </w:r>
                              <w:r>
                                <w:rPr>
                                  <w:rFonts w:ascii="Arial" w:hAnsi="Arial" w:cs="Arial"/>
                                  <w:color w:val="15406C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  <w:p w:rsidR="00505D14" w:rsidRDefault="00505D14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rPr>
                                  <w:rFonts w:ascii="Arial" w:eastAsia="Times New Roman" w:hAnsi="Arial" w:cs="Arial"/>
                                  <w:color w:val="15406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15406C"/>
                                  <w:sz w:val="21"/>
                                  <w:szCs w:val="21"/>
                                </w:rPr>
                                <w:t>Identification avec les syndicats FHP régionaux des différences d’applications et de traitement sur le sujet par les ARS</w:t>
                              </w:r>
                            </w:p>
                            <w:p w:rsidR="00505D14" w:rsidRDefault="00505D14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rPr>
                                  <w:rFonts w:ascii="Arial" w:eastAsia="Times New Roman" w:hAnsi="Arial" w:cs="Arial"/>
                                  <w:color w:val="15406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15406C"/>
                                  <w:sz w:val="21"/>
                                  <w:szCs w:val="21"/>
                                </w:rPr>
                                <w:t>Saisine de la DGOS des différentes problématiques rencontrées</w:t>
                              </w:r>
                            </w:p>
                            <w:p w:rsidR="00505D14" w:rsidRDefault="00505D14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rPr>
                                  <w:rFonts w:ascii="Arial" w:eastAsia="Times New Roman" w:hAnsi="Arial" w:cs="Arial"/>
                                  <w:color w:val="15406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15406C"/>
                                  <w:sz w:val="21"/>
                                  <w:szCs w:val="21"/>
                                </w:rPr>
                                <w:t>Saisine du ministère avec les autres Fédérations Hospitalières et les Syndicats de Médecins Libéraux</w:t>
                              </w:r>
                            </w:p>
                            <w:p w:rsidR="00505D14" w:rsidRDefault="00505D14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rPr>
                                  <w:rFonts w:ascii="Arial" w:eastAsia="Times New Roman" w:hAnsi="Arial" w:cs="Arial"/>
                                  <w:color w:val="15406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lev"/>
                                  <w:rFonts w:ascii="Arial" w:eastAsia="Times New Roman" w:hAnsi="Arial" w:cs="Arial"/>
                                  <w:color w:val="15406C"/>
                                  <w:sz w:val="21"/>
                                  <w:szCs w:val="21"/>
                                </w:rPr>
                                <w:t>Plusieurs parlementaires ont porté nos messages auprès de la ministre lors de l’étude du PLFSS</w:t>
                              </w:r>
                            </w:p>
                            <w:p w:rsidR="00505D14" w:rsidRDefault="00505D14">
                              <w:pPr>
                                <w:pStyle w:val="NormalWeb"/>
                                <w:jc w:val="both"/>
                                <w:rPr>
                                  <w:rFonts w:ascii="Arial" w:hAnsi="Arial" w:cs="Arial"/>
                                  <w:color w:val="15406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lev"/>
                                  <w:rFonts w:ascii="Arial" w:hAnsi="Arial" w:cs="Arial"/>
                                  <w:color w:val="15406C"/>
                                  <w:sz w:val="21"/>
                                  <w:szCs w:val="21"/>
                                  <w:u w:val="single"/>
                                </w:rPr>
                                <w:t>Ce que nous avons obtenu :</w:t>
                              </w:r>
                              <w:r>
                                <w:rPr>
                                  <w:rFonts w:ascii="Arial" w:hAnsi="Arial" w:cs="Arial"/>
                                  <w:color w:val="15406C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  <w:p w:rsidR="00505D14" w:rsidRDefault="00505D14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rPr>
                                  <w:rFonts w:ascii="Arial" w:eastAsia="Times New Roman" w:hAnsi="Arial" w:cs="Arial"/>
                                  <w:color w:val="15406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lev"/>
                                  <w:rFonts w:ascii="Arial" w:eastAsia="Times New Roman" w:hAnsi="Arial" w:cs="Arial"/>
                                  <w:color w:val="FF0000"/>
                                  <w:sz w:val="21"/>
                                  <w:szCs w:val="21"/>
                                </w:rPr>
                                <w:t xml:space="preserve">Par un courrier en date du 30 novembre, la directrice de la Sécurité Sociale, Madame </w:t>
                              </w:r>
                              <w:proofErr w:type="spellStart"/>
                              <w:r>
                                <w:rPr>
                                  <w:rStyle w:val="lev"/>
                                  <w:rFonts w:ascii="Arial" w:eastAsia="Times New Roman" w:hAnsi="Arial" w:cs="Arial"/>
                                  <w:color w:val="FF0000"/>
                                  <w:sz w:val="21"/>
                                  <w:szCs w:val="21"/>
                                </w:rPr>
                                <w:t>Lignot-Leloup</w:t>
                              </w:r>
                              <w:proofErr w:type="spellEnd"/>
                              <w:r>
                                <w:rPr>
                                  <w:rStyle w:val="lev"/>
                                  <w:rFonts w:ascii="Arial" w:eastAsia="Times New Roman" w:hAnsi="Arial" w:cs="Arial"/>
                                  <w:color w:val="FF0000"/>
                                  <w:sz w:val="21"/>
                                  <w:szCs w:val="21"/>
                                </w:rPr>
                                <w:t>, annonce l’absence de sanction concernant le CAQES sur les activités 2017 et 2018 du Contrat soit une absence de sanction pour les années 2018 et 2019.</w:t>
                              </w:r>
                            </w:p>
                            <w:p w:rsidR="00505D14" w:rsidRDefault="00505D14">
                              <w:pPr>
                                <w:pStyle w:val="NormalWeb"/>
                                <w:jc w:val="both"/>
                                <w:rPr>
                                  <w:rFonts w:ascii="Arial" w:hAnsi="Arial" w:cs="Arial"/>
                                  <w:color w:val="15406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lev"/>
                                  <w:rFonts w:ascii="Arial" w:hAnsi="Arial" w:cs="Arial"/>
                                  <w:color w:val="15406C"/>
                                  <w:sz w:val="21"/>
                                  <w:szCs w:val="21"/>
                                </w:rPr>
                                <w:t>Ce que nous vous conseillons :</w:t>
                              </w:r>
                              <w:r>
                                <w:rPr>
                                  <w:rFonts w:ascii="Arial" w:hAnsi="Arial" w:cs="Arial"/>
                                  <w:color w:val="15406C"/>
                                  <w:sz w:val="21"/>
                                  <w:szCs w:val="21"/>
                                </w:rPr>
                                <w:t>  </w:t>
                              </w:r>
                            </w:p>
                            <w:p w:rsidR="00505D14" w:rsidRDefault="00505D14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/>
                                <w:rPr>
                                  <w:rFonts w:ascii="Arial" w:eastAsia="Times New Roman" w:hAnsi="Arial" w:cs="Arial"/>
                                  <w:color w:val="15406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15406C"/>
                                  <w:sz w:val="21"/>
                                  <w:szCs w:val="21"/>
                                </w:rPr>
                                <w:t xml:space="preserve">Nous vous conseillons de signer le CAQES tout en y apportant les observations que vous jugeriez utiles ainsi qu’y joindre, le cas échant, l’avis de la CME de votre établissement. </w:t>
                              </w:r>
                            </w:p>
                            <w:p w:rsidR="00505D14" w:rsidRDefault="00505D14">
                              <w:pPr>
                                <w:pStyle w:val="NormalWeb"/>
                                <w:jc w:val="both"/>
                                <w:rPr>
                                  <w:rFonts w:ascii="Arial" w:hAnsi="Arial" w:cs="Arial"/>
                                  <w:color w:val="15406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5406C"/>
                                  <w:sz w:val="21"/>
                                  <w:szCs w:val="21"/>
                                </w:rPr>
                                <w:t xml:space="preserve">Conscient de la difficile application de ce dispositif sur le terrain, la FHP continuera à faire remonter au ministère vos observations et mettra tout en œuvre pour une évolution positive du dispositif. </w:t>
                              </w:r>
                            </w:p>
                            <w:p w:rsidR="00505D14" w:rsidRDefault="00505D14">
                              <w:pPr>
                                <w:pStyle w:val="NormalWeb"/>
                                <w:jc w:val="both"/>
                                <w:rPr>
                                  <w:rFonts w:ascii="Arial" w:hAnsi="Arial" w:cs="Arial"/>
                                  <w:color w:val="15406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5406C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505D14" w:rsidRDefault="00505D14">
                              <w:pPr>
                                <w:pStyle w:val="NormalWeb"/>
                                <w:jc w:val="both"/>
                                <w:rPr>
                                  <w:rFonts w:ascii="Arial" w:hAnsi="Arial" w:cs="Arial"/>
                                  <w:color w:val="15406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5406C"/>
                                  <w:sz w:val="21"/>
                                  <w:szCs w:val="21"/>
                                </w:rPr>
                                <w:t>Pour toute question ou remontée d'observations sur le CAQES notre service juridique est à votre entière disposition. Vous pouvez le contacter soit par mail (</w:t>
                              </w:r>
                              <w:hyperlink r:id="rId7" w:history="1">
                                <w:r>
                                  <w:rPr>
                                    <w:rStyle w:val="Lienhypertexte"/>
                                    <w:rFonts w:ascii="Arial" w:hAnsi="Arial" w:cs="Arial"/>
                                    <w:color w:val="3E21FF"/>
                                    <w:sz w:val="21"/>
                                    <w:szCs w:val="21"/>
                                  </w:rPr>
                                  <w:t>gregory.caumes@fhp.fr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15406C"/>
                                  <w:sz w:val="21"/>
                                  <w:szCs w:val="21"/>
                                </w:rPr>
                                <w:t xml:space="preserve">) ou par téléphone (01 53 83 56 60). </w:t>
                              </w:r>
                            </w:p>
                            <w:p w:rsidR="00505D14" w:rsidRDefault="00505D14">
                              <w:pPr>
                                <w:pStyle w:val="NormalWeb"/>
                                <w:jc w:val="both"/>
                                <w:rPr>
                                  <w:rFonts w:ascii="Arial" w:hAnsi="Arial" w:cs="Arial"/>
                                  <w:color w:val="15406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5406C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505D14" w:rsidRDefault="00505D14">
                              <w:pPr>
                                <w:pStyle w:val="NormalWeb"/>
                                <w:jc w:val="both"/>
                                <w:rPr>
                                  <w:rFonts w:ascii="Arial" w:hAnsi="Arial" w:cs="Arial"/>
                                  <w:color w:val="15406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5406C"/>
                                  <w:sz w:val="21"/>
                                  <w:szCs w:val="21"/>
                                </w:rPr>
                                <w:t>Nous vous souhaitons bonne lecture, et vous prions d'agréer, Chère Adhérente, Cher Adhérent, nos salutations amicales et dévouées.  </w:t>
                              </w:r>
                            </w:p>
                            <w:p w:rsidR="00505D14" w:rsidRDefault="00505D14">
                              <w:pPr>
                                <w:rPr>
                                  <w:rFonts w:ascii="Arial" w:eastAsia="Times New Roman" w:hAnsi="Arial" w:cs="Arial"/>
                                  <w:color w:val="15406C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15406C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15406C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15406C"/>
                                  <w:sz w:val="21"/>
                                  <w:szCs w:val="21"/>
                                </w:rPr>
                                <w:t> 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15406C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Style w:val="lev"/>
                                  <w:rFonts w:ascii="Arial" w:eastAsia="Times New Roman" w:hAnsi="Arial" w:cs="Arial"/>
                                  <w:color w:val="15406C"/>
                                  <w:sz w:val="21"/>
                                  <w:szCs w:val="21"/>
                                </w:rPr>
                                <w:t xml:space="preserve">Michel </w:t>
                              </w:r>
                              <w:proofErr w:type="spellStart"/>
                              <w:r>
                                <w:rPr>
                                  <w:rStyle w:val="lev"/>
                                  <w:rFonts w:ascii="Arial" w:eastAsia="Times New Roman" w:hAnsi="Arial" w:cs="Arial"/>
                                  <w:color w:val="15406C"/>
                                  <w:sz w:val="21"/>
                                  <w:szCs w:val="21"/>
                                </w:rPr>
                                <w:t>Ballereau</w:t>
                              </w:r>
                              <w:proofErr w:type="spellEnd"/>
                              <w:proofErr w:type="gramStart"/>
                              <w:r>
                                <w:rPr>
                                  <w:rStyle w:val="lev"/>
                                  <w:rFonts w:ascii="Arial" w:eastAsia="Times New Roman" w:hAnsi="Arial" w:cs="Arial"/>
                                  <w:color w:val="15406C"/>
                                  <w:sz w:val="21"/>
                                  <w:szCs w:val="21"/>
                                </w:rPr>
                                <w:t>,</w:t>
                              </w:r>
                              <w:proofErr w:type="gramEnd"/>
                              <w:r>
                                <w:rPr>
                                  <w:rFonts w:ascii="Arial" w:eastAsia="Times New Roman" w:hAnsi="Arial" w:cs="Arial"/>
                                  <w:color w:val="15406C"/>
                                  <w:sz w:val="21"/>
                                  <w:szCs w:val="21"/>
                                </w:rPr>
                                <w:br/>
                                <w:t xml:space="preserve">Délégué général </w:t>
                              </w:r>
                            </w:p>
                            <w:p w:rsidR="00505D14" w:rsidRDefault="00505D14">
                              <w:pPr>
                                <w:pStyle w:val="NormalWeb"/>
                                <w:jc w:val="both"/>
                                <w:rPr>
                                  <w:rFonts w:ascii="Arial" w:hAnsi="Arial" w:cs="Arial"/>
                                  <w:color w:val="15406C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5406C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  <w:p w:rsidR="00505D14" w:rsidRDefault="00505D14">
                              <w:pPr>
                                <w:pStyle w:val="NormalWeb"/>
                                <w:jc w:val="both"/>
                                <w:rPr>
                                  <w:rFonts w:ascii="Arial" w:hAnsi="Arial" w:cs="Arial"/>
                                  <w:color w:val="15406C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5406C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  <w:p w:rsidR="00505D14" w:rsidRDefault="00505D14">
                              <w:pPr>
                                <w:pStyle w:val="NormalWeb"/>
                                <w:jc w:val="both"/>
                                <w:rPr>
                                  <w:rFonts w:ascii="Arial" w:hAnsi="Arial" w:cs="Arial"/>
                                  <w:color w:val="15406C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color w:val="15406C"/>
                                  <w:sz w:val="21"/>
                                  <w:szCs w:val="21"/>
                                </w:rPr>
                                <w:drawing>
                                  <wp:inline distT="0" distB="0" distL="0" distR="0">
                                    <wp:extent cx="1857375" cy="542925"/>
                                    <wp:effectExtent l="0" t="0" r="9525" b="9525"/>
                                    <wp:docPr id="2" name="Image 2" descr="http://img.fhp.fr/66842/maNrK11UREijLppB14kBdg/BTN-%C3%A0%20t%C3%A9l%C3%A9charger%20DPEJM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uGvuJCrIrwBAErFAIFwJFBDHvtBrCCBu" descr="http://img.fhp.fr/66842/maNrK11UREijLppB14kBdg/BTN-%C3%A0%20t%C3%A9l%C3%A9charger%20DPEJM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57375" cy="542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05D14" w:rsidRDefault="00505D14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before="100" w:beforeAutospacing="1" w:after="100" w:afterAutospacing="1"/>
                                <w:rPr>
                                  <w:rFonts w:ascii="Arial" w:eastAsia="Times New Roman" w:hAnsi="Arial" w:cs="Arial"/>
                                  <w:color w:val="15406C"/>
                                  <w:sz w:val="21"/>
                                  <w:szCs w:val="21"/>
                                </w:rPr>
                              </w:pPr>
                              <w:hyperlink r:id="rId9" w:history="1">
                                <w:r>
                                  <w:rPr>
                                    <w:rStyle w:val="Lienhypertexte"/>
                                    <w:rFonts w:ascii="Arial" w:eastAsia="Times New Roman" w:hAnsi="Arial" w:cs="Arial"/>
                                    <w:color w:val="3E21FF"/>
                                    <w:sz w:val="21"/>
                                    <w:szCs w:val="21"/>
                                  </w:rPr>
                                  <w:t>Instruction CAQES du 26 juillet 2017</w:t>
                                </w:r>
                              </w:hyperlink>
                            </w:p>
                            <w:p w:rsidR="00505D14" w:rsidRDefault="00505D14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before="100" w:beforeAutospacing="1" w:after="100" w:afterAutospacing="1"/>
                                <w:rPr>
                                  <w:rFonts w:ascii="Arial" w:eastAsia="Times New Roman" w:hAnsi="Arial" w:cs="Arial"/>
                                  <w:color w:val="15406C"/>
                                  <w:sz w:val="21"/>
                                  <w:szCs w:val="21"/>
                                </w:rPr>
                              </w:pPr>
                              <w:hyperlink r:id="rId10" w:history="1">
                                <w:r>
                                  <w:rPr>
                                    <w:rStyle w:val="Lienhypertexte"/>
                                    <w:rFonts w:ascii="Arial" w:eastAsia="Times New Roman" w:hAnsi="Arial" w:cs="Arial"/>
                                    <w:color w:val="3E21FF"/>
                                    <w:sz w:val="21"/>
                                    <w:szCs w:val="21"/>
                                  </w:rPr>
                                  <w:t>Article 81 de la Loi n° 2015-1702 du 21 décembre 2015</w:t>
                                </w:r>
                              </w:hyperlink>
                            </w:p>
                            <w:p w:rsidR="00505D14" w:rsidRDefault="00505D14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before="100" w:beforeAutospacing="1" w:after="100" w:afterAutospacing="1"/>
                                <w:rPr>
                                  <w:rFonts w:ascii="Arial" w:eastAsia="Times New Roman" w:hAnsi="Arial" w:cs="Arial"/>
                                  <w:color w:val="15406C"/>
                                  <w:sz w:val="21"/>
                                  <w:szCs w:val="21"/>
                                </w:rPr>
                              </w:pPr>
                              <w:hyperlink r:id="rId11" w:history="1">
                                <w:r>
                                  <w:rPr>
                                    <w:rStyle w:val="Lienhypertexte"/>
                                    <w:rFonts w:ascii="Arial" w:eastAsia="Times New Roman" w:hAnsi="Arial" w:cs="Arial"/>
                                    <w:color w:val="3E21FF"/>
                                    <w:sz w:val="21"/>
                                    <w:szCs w:val="21"/>
                                  </w:rPr>
                                  <w:t xml:space="preserve">Décret </w:t>
                                </w:r>
                                <w:proofErr w:type="spellStart"/>
                                <w:r>
                                  <w:rPr>
                                    <w:rStyle w:val="Lienhypertexte"/>
                                    <w:rFonts w:ascii="Arial" w:eastAsia="Times New Roman" w:hAnsi="Arial" w:cs="Arial"/>
                                    <w:color w:val="3E21FF"/>
                                    <w:sz w:val="21"/>
                                    <w:szCs w:val="21"/>
                                  </w:rPr>
                                  <w:t>Caqes</w:t>
                                </w:r>
                                <w:proofErr w:type="spellEnd"/>
                              </w:hyperlink>
                            </w:p>
                            <w:p w:rsidR="00505D14" w:rsidRDefault="00505D14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before="100" w:beforeAutospacing="1" w:after="100" w:afterAutospacing="1"/>
                                <w:rPr>
                                  <w:rFonts w:ascii="Arial" w:eastAsia="Times New Roman" w:hAnsi="Arial" w:cs="Arial"/>
                                  <w:color w:val="15406C"/>
                                  <w:sz w:val="21"/>
                                  <w:szCs w:val="21"/>
                                </w:rPr>
                              </w:pPr>
                              <w:hyperlink r:id="rId12" w:history="1">
                                <w:r>
                                  <w:rPr>
                                    <w:rStyle w:val="Lienhypertexte"/>
                                    <w:rFonts w:ascii="Arial" w:eastAsia="Times New Roman" w:hAnsi="Arial" w:cs="Arial"/>
                                    <w:color w:val="3E21FF"/>
                                    <w:sz w:val="21"/>
                                    <w:szCs w:val="21"/>
                                  </w:rPr>
                                  <w:t xml:space="preserve">Arrêté </w:t>
                                </w:r>
                                <w:proofErr w:type="spellStart"/>
                                <w:r>
                                  <w:rPr>
                                    <w:rStyle w:val="Lienhypertexte"/>
                                    <w:rFonts w:ascii="Arial" w:eastAsia="Times New Roman" w:hAnsi="Arial" w:cs="Arial"/>
                                    <w:color w:val="3E21FF"/>
                                    <w:sz w:val="21"/>
                                    <w:szCs w:val="21"/>
                                  </w:rPr>
                                  <w:t>Caqes</w:t>
                                </w:r>
                                <w:proofErr w:type="spellEnd"/>
                                <w:r>
                                  <w:rPr>
                                    <w:rStyle w:val="Lienhypertexte"/>
                                    <w:rFonts w:ascii="Arial" w:eastAsia="Times New Roman" w:hAnsi="Arial" w:cs="Arial"/>
                                    <w:color w:val="3E21FF"/>
                                    <w:sz w:val="21"/>
                                    <w:szCs w:val="21"/>
                                  </w:rPr>
                                  <w:t xml:space="preserve"> du 27 avril 2017</w:t>
                                </w:r>
                              </w:hyperlink>
                            </w:p>
                            <w:p w:rsidR="00505D14" w:rsidRDefault="00505D14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before="100" w:beforeAutospacing="1" w:after="100" w:afterAutospacing="1"/>
                                <w:rPr>
                                  <w:rFonts w:ascii="Arial" w:eastAsia="Times New Roman" w:hAnsi="Arial" w:cs="Arial"/>
                                  <w:color w:val="15406C"/>
                                  <w:sz w:val="21"/>
                                  <w:szCs w:val="21"/>
                                </w:rPr>
                              </w:pPr>
                              <w:hyperlink r:id="rId13" w:history="1">
                                <w:r>
                                  <w:rPr>
                                    <w:rStyle w:val="Lienhypertexte"/>
                                    <w:rFonts w:ascii="Arial" w:eastAsia="Times New Roman" w:hAnsi="Arial" w:cs="Arial"/>
                                    <w:color w:val="3E21FF"/>
                                    <w:sz w:val="21"/>
                                    <w:szCs w:val="21"/>
                                  </w:rPr>
                                  <w:t>Premier courrier de saisine de la DGOS des différentes problématiques rencontrées</w:t>
                                </w:r>
                              </w:hyperlink>
                            </w:p>
                            <w:p w:rsidR="00505D14" w:rsidRDefault="00505D14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before="100" w:beforeAutospacing="1" w:after="100" w:afterAutospacing="1"/>
                                <w:rPr>
                                  <w:rFonts w:ascii="Arial" w:eastAsia="Times New Roman" w:hAnsi="Arial" w:cs="Arial"/>
                                  <w:color w:val="15406C"/>
                                  <w:sz w:val="21"/>
                                  <w:szCs w:val="21"/>
                                </w:rPr>
                              </w:pPr>
                              <w:hyperlink r:id="rId14" w:history="1">
                                <w:r>
                                  <w:rPr>
                                    <w:rStyle w:val="Lienhypertexte"/>
                                    <w:rFonts w:ascii="Arial" w:eastAsia="Times New Roman" w:hAnsi="Arial" w:cs="Arial"/>
                                    <w:color w:val="3E21FF"/>
                                    <w:sz w:val="21"/>
                                    <w:szCs w:val="21"/>
                                  </w:rPr>
                                  <w:t>Deuxième courrier de saisine de la DGOS des différentes problématiques rencontrées</w:t>
                                </w:r>
                              </w:hyperlink>
                            </w:p>
                            <w:p w:rsidR="00505D14" w:rsidRDefault="00505D14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before="100" w:beforeAutospacing="1" w:after="100" w:afterAutospacing="1"/>
                                <w:rPr>
                                  <w:rFonts w:ascii="Arial" w:eastAsia="Times New Roman" w:hAnsi="Arial" w:cs="Arial"/>
                                  <w:color w:val="15406C"/>
                                  <w:sz w:val="21"/>
                                  <w:szCs w:val="21"/>
                                </w:rPr>
                              </w:pPr>
                              <w:hyperlink r:id="rId15" w:history="1">
                                <w:r>
                                  <w:rPr>
                                    <w:rStyle w:val="Lienhypertexte"/>
                                    <w:rFonts w:ascii="Arial" w:eastAsia="Times New Roman" w:hAnsi="Arial" w:cs="Arial"/>
                                    <w:color w:val="3E21FF"/>
                                    <w:sz w:val="21"/>
                                    <w:szCs w:val="21"/>
                                  </w:rPr>
                                  <w:t>Courrier de saisine du ministère avec les autres fédérations hospitalières</w:t>
                                </w:r>
                              </w:hyperlink>
                            </w:p>
                            <w:p w:rsidR="00505D14" w:rsidRDefault="00505D14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before="100" w:beforeAutospacing="1" w:after="100" w:afterAutospacing="1"/>
                                <w:rPr>
                                  <w:rFonts w:ascii="Arial" w:eastAsia="Times New Roman" w:hAnsi="Arial" w:cs="Arial"/>
                                  <w:color w:val="15406C"/>
                                  <w:sz w:val="21"/>
                                  <w:szCs w:val="21"/>
                                </w:rPr>
                              </w:pPr>
                              <w:hyperlink r:id="rId16" w:history="1">
                                <w:r>
                                  <w:rPr>
                                    <w:rStyle w:val="Lienhypertexte"/>
                                    <w:rFonts w:ascii="Arial" w:eastAsia="Times New Roman" w:hAnsi="Arial" w:cs="Arial"/>
                                    <w:color w:val="3E21FF"/>
                                    <w:sz w:val="21"/>
                                    <w:szCs w:val="21"/>
                                  </w:rPr>
                                  <w:t>Courrier de saisine du ministère avec les Syndicats de Médecins Libéraux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color w:val="15406C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  <w:p w:rsidR="00505D14" w:rsidRDefault="00505D14">
                              <w:pPr>
                                <w:pStyle w:val="NormalWeb"/>
                                <w:numPr>
                                  <w:ilvl w:val="0"/>
                                  <w:numId w:val="4"/>
                                </w:numPr>
                                <w:jc w:val="both"/>
                                <w:rPr>
                                  <w:rFonts w:ascii="Arial" w:hAnsi="Arial" w:cs="Arial"/>
                                  <w:color w:val="15406C"/>
                                  <w:sz w:val="21"/>
                                  <w:szCs w:val="21"/>
                                </w:rPr>
                              </w:pPr>
                              <w:hyperlink r:id="rId17" w:history="1">
                                <w:r>
                                  <w:rPr>
                                    <w:rStyle w:val="Lienhypertexte"/>
                                    <w:rFonts w:ascii="Arial" w:hAnsi="Arial" w:cs="Arial"/>
                                    <w:color w:val="3E21FF"/>
                                    <w:sz w:val="21"/>
                                    <w:szCs w:val="21"/>
                                  </w:rPr>
                                  <w:t>Courrier réponse de la Direction de la Sécurité Sociale</w:t>
                                </w:r>
                              </w:hyperlink>
                            </w:p>
                          </w:tc>
                        </w:tr>
                      </w:tbl>
                      <w:p w:rsidR="00505D14" w:rsidRDefault="00505D1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05D14" w:rsidRDefault="00505D1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05D1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505D1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vertAnchor="text"/>
                          <w:tblW w:w="97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50"/>
                        </w:tblGrid>
                        <w:tr w:rsidR="00505D1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20" w:type="dxa"/>
                                <w:left w:w="120" w:type="dxa"/>
                                <w:bottom w:w="120" w:type="dxa"/>
                                <w:right w:w="120" w:type="dxa"/>
                              </w:tcMar>
                              <w:hideMark/>
                            </w:tcPr>
                            <w:p w:rsidR="00505D14" w:rsidRDefault="00505D14">
                              <w:pPr>
                                <w:rPr>
                                  <w:rFonts w:ascii="Arial" w:eastAsia="Times New Roman" w:hAnsi="Arial" w:cs="Arial"/>
                                  <w:color w:val="15406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15406C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505D14" w:rsidRDefault="00505D1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05D14" w:rsidRDefault="00505D1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505D14" w:rsidRDefault="00505D14">
            <w:pPr>
              <w:rPr>
                <w:rFonts w:eastAsia="Times New Roman"/>
                <w:vanish/>
              </w:rPr>
            </w:pPr>
          </w:p>
          <w:tbl>
            <w:tblPr>
              <w:tblW w:w="97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505D1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CEE9FD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80"/>
                    <w:gridCol w:w="3240"/>
                  </w:tblGrid>
                  <w:tr w:rsidR="00505D1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vertAnchor="text"/>
                          <w:tblW w:w="648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480"/>
                        </w:tblGrid>
                        <w:tr w:rsidR="00505D1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30" w:type="dxa"/>
                                <w:left w:w="330" w:type="dxa"/>
                                <w:bottom w:w="330" w:type="dxa"/>
                                <w:right w:w="330" w:type="dxa"/>
                              </w:tcMar>
                              <w:hideMark/>
                            </w:tcPr>
                            <w:p w:rsidR="00505D14" w:rsidRDefault="00505D14">
                              <w:pPr>
                                <w:rPr>
                                  <w:rFonts w:ascii="Arial" w:eastAsia="Times New Roman" w:hAnsi="Arial" w:cs="Arial"/>
                                  <w:color w:val="15406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lev"/>
                                  <w:rFonts w:ascii="Arial" w:eastAsia="Times New Roman" w:hAnsi="Arial" w:cs="Arial"/>
                                  <w:color w:val="15406C"/>
                                  <w:sz w:val="18"/>
                                  <w:szCs w:val="18"/>
                                </w:rPr>
                                <w:t>Contact : Direction de la Prospective Economique, Juridique et Médicale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15406C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lev"/>
                                  <w:rFonts w:ascii="Arial" w:eastAsia="Times New Roman" w:hAnsi="Arial" w:cs="Arial"/>
                                  <w:color w:val="15406C"/>
                                  <w:sz w:val="18"/>
                                  <w:szCs w:val="18"/>
                                </w:rPr>
                                <w:t xml:space="preserve">Grégory </w:t>
                              </w:r>
                              <w:proofErr w:type="spellStart"/>
                              <w:r>
                                <w:rPr>
                                  <w:rStyle w:val="lev"/>
                                  <w:rFonts w:ascii="Arial" w:eastAsia="Times New Roman" w:hAnsi="Arial" w:cs="Arial"/>
                                  <w:color w:val="15406C"/>
                                  <w:sz w:val="18"/>
                                  <w:szCs w:val="18"/>
                                </w:rPr>
                                <w:t>Caumes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15406C"/>
                                  <w:sz w:val="18"/>
                                  <w:szCs w:val="18"/>
                                </w:rPr>
                                <w:br/>
                                <w:t xml:space="preserve">Tél. 01 53 83 56 56 - </w:t>
                              </w:r>
                              <w:hyperlink r:id="rId18" w:history="1">
                                <w:r>
                                  <w:rPr>
                                    <w:rStyle w:val="Lienhypertexte"/>
                                    <w:rFonts w:ascii="Arial" w:eastAsia="Times New Roman" w:hAnsi="Arial" w:cs="Arial"/>
                                    <w:color w:val="3E21FF"/>
                                    <w:sz w:val="18"/>
                                    <w:szCs w:val="18"/>
                                  </w:rPr>
                                  <w:t>gregory.caumes@fhp.fr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color w:val="15406C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505D14" w:rsidRDefault="00505D1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vertAnchor="text" w:tblpXSpec="right" w:tblpYSpec="center"/>
                          <w:tblW w:w="324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40"/>
                        </w:tblGrid>
                        <w:tr w:rsidR="00505D1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30" w:type="dxa"/>
                                <w:left w:w="330" w:type="dxa"/>
                                <w:bottom w:w="330" w:type="dxa"/>
                                <w:right w:w="330" w:type="dxa"/>
                              </w:tcMar>
                              <w:hideMark/>
                            </w:tcPr>
                            <w:p w:rsidR="00505D14" w:rsidRDefault="00505D14">
                              <w:pPr>
                                <w:pStyle w:val="NormalWeb"/>
                                <w:jc w:val="center"/>
                                <w:rPr>
                                  <w:rFonts w:ascii="Arial" w:hAnsi="Arial" w:cs="Arial"/>
                                  <w:color w:val="15406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color w:val="3E21FF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524000" cy="390525"/>
                                    <wp:effectExtent l="0" t="0" r="0" b="9525"/>
                                    <wp:docPr id="1" name="Image 1" descr="http://img.fhp.fr/66842/maNrK11UREijLppB14kBdg/image_07.jpg">
                                      <a:hlinkClick xmlns:a="http://schemas.openxmlformats.org/drawingml/2006/main" r:id="rId1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vrrICJJBEACEDEvJstGHJDrvwCtFGDF" descr="http://img.fhp.fr/66842/maNrK11UREijLppB14kBdg/image_07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0" cy="390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05D14" w:rsidRDefault="00505D1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05D14" w:rsidRDefault="00505D1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505D14" w:rsidRDefault="00505D1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CE707D" w:rsidRDefault="00CE707D"/>
    <w:sectPr w:rsidR="00CE7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535E"/>
    <w:multiLevelType w:val="multilevel"/>
    <w:tmpl w:val="FF1A4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B7274"/>
    <w:multiLevelType w:val="multilevel"/>
    <w:tmpl w:val="318E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D25657"/>
    <w:multiLevelType w:val="multilevel"/>
    <w:tmpl w:val="07DC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8754BD"/>
    <w:multiLevelType w:val="multilevel"/>
    <w:tmpl w:val="2E10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F4"/>
    <w:rsid w:val="003701F4"/>
    <w:rsid w:val="00505D14"/>
    <w:rsid w:val="00CE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3470E-4C88-450A-92D7-DB662685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D14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05D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05D14"/>
  </w:style>
  <w:style w:type="character" w:styleId="lev">
    <w:name w:val="Strong"/>
    <w:basedOn w:val="Policepardfaut"/>
    <w:uiPriority w:val="22"/>
    <w:qFormat/>
    <w:rsid w:val="00505D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2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link.fhp.fr/c?p=xBDQttDb-_TQ1OBaTdCCONCM6tCn_AlpxBDQxjPQntDN0NMdOEbQiOP30IHQvdCk0J9a2WdodHRwOi8va29hbWEuZmhwLmZyL2ZpY2hpZXJzLzIwMTcxMjE1MTUxNDA3XzAwNl8xN19fQV9NX0FybWFudGVyYXNfZGVfU2F4Y2VfX0RlY3JldF9DYXFlc19fMTcuMDIuMTcucGRmpTY2ODQyxBAaHNCHbkvQpRZJ0KrQqwrQlwc30JLQnqtsaW5rLmZocC5mcsQUDu05Z9Cf0NLQukHQl9C8KB7Qp0k60JAI0N9x-w" TargetMode="External"/><Relationship Id="rId18" Type="http://schemas.openxmlformats.org/officeDocument/2006/relationships/hyperlink" Target="mailto:gregory.caumes@fhp.f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gregory.caumes@fhp.fr" TargetMode="External"/><Relationship Id="rId12" Type="http://schemas.openxmlformats.org/officeDocument/2006/relationships/hyperlink" Target="http://link.fhp.fr/c?p=xBDQttDb-_TQ1OBaTdCCONCM6tCn_AlpxBDQrNCdeiJ90I7iQdCQ0JrQkQt-0J7t0L7ZS2h0dHA6Ly93d3cuZmhwLmZyL2ZpY2hpZXJzLzIwMTcwNTA1MTM0NjUyX0FycmV0ZV9jYXFlc19kdV8yN19hdnJpbF8yMDE3LnBkZqU2Njg0MsQQGhzQh25L0KUWSdCq0KsK0JcHN9CS0J6rbGluay5maHAuZnLEFA7tOWfQn9DS0LpB0JfQvCge0KdJOtCQCNDfcfs" TargetMode="External"/><Relationship Id="rId17" Type="http://schemas.openxmlformats.org/officeDocument/2006/relationships/hyperlink" Target="http://link.fhp.fr/c?p=xBDQttDb-_TQ1OBaTdCCONCM6tCn_AlpxBBI0M1LNtCUZ9DZTtC10K8eKlrQvlk_2WdodHRwOi8va29hbWEuZmhwLmZyL2ZpY2hpZXJzLzIwMTcxMjE1MTUyODQ2X2NhcWVzX19jb3Vycmllcl9yZXBvbnNlX01tZV9MSUdOT1RfTEVMT1VQX0RTU19fMzAuMTEuMTcucGRmpTY2ODQyxBAaHNCHbkvQpRZJ0KrQqwrQlwc30JLQnqtsaW5rLmZocC5mcsQUDu05Z9Cf0NLQukHQl9C8KB7Qp0k60JAI0N9x-w" TargetMode="External"/><Relationship Id="rId2" Type="http://schemas.openxmlformats.org/officeDocument/2006/relationships/styles" Target="styles.xml"/><Relationship Id="rId16" Type="http://schemas.openxmlformats.org/officeDocument/2006/relationships/hyperlink" Target="http://link.fhp.fr/c?p=xBDQttDb-_TQ1OBaTdCCONCM6tCn_AlpxBDqWdDGX3XQt-FD0JlCC0r60IxweNloaHR0cDovL2tvYW1hLmZocC5mci9maWNoaWVycy8yMDE3MTIxNTE1MTkwNV8wMjVfMTdfY291cnJpZXJfRkhQX1N5bmQuX01lZC5fQS5fQnV6eW5fX0NBUUVTX18yMF8xMC4xNy5wZGalNjY4NDLEEBoc0IduS9ClFknQqtCrCtCXBzfQktCeq2xpbmsuZmhwLmZyxBQO7Tln0J_Q0tC6QdCX0LwoHtCnSTrQkAjQ33H7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link.fhp.fr/c?p=xBDQttDb-_TQ1OBaTdCCONCM6tCn_AlpxBAW7NCEIODQwtC4RdC7DzpNMhEX7dlraHR0cDovL3d3dy5maHAuZnIvZmljaGllcnMvMjAxNzA1MDUxMjA1MDZfRGVjcmV0X24yMDE3XzU4NF9kdV8yMF9hdnJpbF8yMDE3X21vZGFsaXRlc19hcHBsaWNhdGlvbl9jYXFlcy5wZGalNjY4NDLEEBoc0IduS9ClFknQqtCrCtCXBzfQktCeq2xpbmsuZmhwLmZyxBQO7Tln0J_Q0tC6QdCX0LwoHtCnSTrQkAjQ33H7" TargetMode="External"/><Relationship Id="rId5" Type="http://schemas.openxmlformats.org/officeDocument/2006/relationships/hyperlink" Target="http://link.fhp.fr/m2?r=pTY2ODQyxBDQttDb-_TQ1OBaTdCCONCM6tCn_AlpxBAaHNCHbkvQpRZJ0KrQqwrQlwc30JLQnrFmaHBzc3JAZmhwLXNzci5mcqCVxBAz0IXQqljQrzBcRtC90Ivl0Nvm0JjQ1NCwo01tZcQQ0JRb0MvQyNC5JVVD0Lnx0M13WtDIL9CWpk1BR0VSRcQQGtDR0Lgi-O8ZSdCeRtCjHtDBEXgyqFZhbMOpcmllxBDwVQhb0IzQoUZP0KbvJCMbDwUnp0ZIUC1TU1LEEGJw0IPQ30xA9ETQknHQjCAl0LbQrtCKpTMxNjQ4" TargetMode="External"/><Relationship Id="rId15" Type="http://schemas.openxmlformats.org/officeDocument/2006/relationships/hyperlink" Target="http://link.fhp.fr/c?p=xBDQttDb-_TQ1OBaTdCCONCM6tCn_AlpxBAH-tCDDQwL9EnQmtCBFdCg0I0S_GzZdGh0dHA6Ly9rb2FtYS5maHAuZnIvZmljaGllcnMvMjAxNzEyMTUxNTA1MzFfQ291cnJpZXJfREdPU19ldF9EU1NfQ0FRRVNfRkhGX0ZORUhBRF9GRUhBUF9VTklDQU5DRVJfRkhQXzA5XzExXzIwMTcucGRmpTY2ODQyxBAaHNCHbkvQpRZJ0KrQqwrQlwc30JLQnqtsaW5rLmZocC5mcsQUDu05Z9Cf0NLQukHQl9C8KB7Qp0k60JAI0N9x-w" TargetMode="External"/><Relationship Id="rId10" Type="http://schemas.openxmlformats.org/officeDocument/2006/relationships/hyperlink" Target="http://link.fhp.fr/c?p=xBDQttDb-_TQ1OBaTdCCONCM6tCn_AlpxBAF0LLQxXQA0KlfRNCm7Agp0NA30NPQrNlWaHR0cDovL3d3dy5maHAuZnIvZmljaGllcnMvMjAxNzA1MDUxMTU3MTRfQXJ0XzgxX2RlX2xhX2xvaV9uXzIwMTVfMTcwMl9kdV8yMS4xMi4xNS5kb2OlNjY4NDLEEBoc0IduS9ClFknQqtCrCtCXBzfQktCeq2xpbmsuZmhwLmZyxBQO7Tln0J_Q0tC6QdCX0LwoHtCnSTrQkAjQ33H7" TargetMode="External"/><Relationship Id="rId19" Type="http://schemas.openxmlformats.org/officeDocument/2006/relationships/hyperlink" Target="http://link.fhp.fr/c?p=xBDQttDb-_TQ1OBaTdCCONCM6tCn_AlpxBDQrNC9D9DKZNC50MpL0ITQjmPQh9DZHFzQpbJodHRwOi8vd3d3LmZocC5mci-lNjY4NDLEEBoc0IduS9ClFknQqtCrCtCXBzfQktCeq2xpbmsuZmhwLmZyxBQO7Tln0J_Q0tC6QdCX0LwoHtCnSTrQkAjQ33H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nk.fhp.fr/c?p=xBDQttDb-_TQ1OBaTdCCONCM6tCn_AlpxBDQzfxaUnfQrzhD0LrQjUHQkyrQhuEB2T9odHRwOi8vd3d3LmZocC5mci9maWNoaWVycy8yMDE3MDkyMDE2MDI1M19JbnN0cnVjdGlvbl9DQVFFUy5wZGalNjY4NDLEEBoc0IduS9ClFknQqtCrCtCXBzfQktCeq2xpbmsuZmhwLmZyxBQO7Tln0J_Q0tC6QdCX0LwoHtCnSTrQkAjQ33H7" TargetMode="External"/><Relationship Id="rId14" Type="http://schemas.openxmlformats.org/officeDocument/2006/relationships/hyperlink" Target="http://link.fhp.fr/c?p=xBDQttDb-_TQ1OBaTdCCONCM6tCn_AlpxBBI59DM7w3Q235F0IBpc9DLQusxOdlVaHR0cDovL2tvYW1hLmZocC5mci9maWNoaWVycy8yMDE3MTIxNTE1MTc1N18wMjNfMTdfX0MuX0NvdXJyZWdlc19fQ0FRRVNfXzE4LjA5LjE3LnBkZqU2Njg0MsQQGhzQh25L0KUWSdCq0KsK0JcHN9CS0J6rbGluay5maHAuZnLEFA7tOWfQn9DS0LpB0JfQvCge0KdJOtCQCNDfcf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966</Words>
  <Characters>5318</Characters>
  <Application>Microsoft Office Word</Application>
  <DocSecurity>0</DocSecurity>
  <Lines>44</Lines>
  <Paragraphs>12</Paragraphs>
  <ScaleCrop>false</ScaleCrop>
  <Company/>
  <LinksUpToDate>false</LinksUpToDate>
  <CharactersWithSpaces>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</dc:creator>
  <cp:keywords/>
  <dc:description/>
  <cp:lastModifiedBy>valerie</cp:lastModifiedBy>
  <cp:revision>2</cp:revision>
  <dcterms:created xsi:type="dcterms:W3CDTF">2017-12-19T08:30:00Z</dcterms:created>
  <dcterms:modified xsi:type="dcterms:W3CDTF">2017-12-19T08:32:00Z</dcterms:modified>
</cp:coreProperties>
</file>