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731CA" w:rsidTr="002731CA">
        <w:trPr>
          <w:tblCellSpacing w:w="0" w:type="dxa"/>
          <w:jc w:val="center"/>
        </w:trPr>
        <w:tc>
          <w:tcPr>
            <w:tcW w:w="0" w:type="auto"/>
            <w:shd w:val="clear" w:color="auto" w:fill="FFFFFF"/>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731C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tcMar>
                                <w:top w:w="450" w:type="dxa"/>
                                <w:left w:w="450" w:type="dxa"/>
                                <w:bottom w:w="450" w:type="dxa"/>
                                <w:right w:w="450" w:type="dxa"/>
                              </w:tcMar>
                              <w:hideMark/>
                            </w:tcPr>
                            <w:p w:rsidR="002731CA" w:rsidRDefault="002731CA">
                              <w:pPr>
                                <w:pStyle w:val="NormalWeb"/>
                                <w:spacing w:before="0" w:beforeAutospacing="0" w:after="0" w:afterAutospacing="0"/>
                                <w:jc w:val="center"/>
                                <w:rPr>
                                  <w:rFonts w:ascii="Arial" w:hAnsi="Arial" w:cs="Arial"/>
                                  <w:color w:val="15406C"/>
                                  <w:sz w:val="18"/>
                                  <w:szCs w:val="18"/>
                                </w:rPr>
                              </w:pPr>
                              <w:r>
                                <w:rPr>
                                  <w:rFonts w:ascii="Arial" w:hAnsi="Arial" w:cs="Arial"/>
                                  <w:color w:val="999999"/>
                                  <w:sz w:val="17"/>
                                  <w:szCs w:val="17"/>
                                </w:rPr>
                                <w:t xml:space="preserve">Flash Info FHP </w:t>
                              </w:r>
                            </w:p>
                            <w:p w:rsidR="002731CA" w:rsidRDefault="002731CA">
                              <w:pPr>
                                <w:pStyle w:val="NormalWeb"/>
                                <w:spacing w:before="0" w:beforeAutospacing="0" w:after="0" w:afterAutospacing="0"/>
                                <w:jc w:val="center"/>
                                <w:rPr>
                                  <w:rFonts w:ascii="Arial" w:hAnsi="Arial" w:cs="Arial"/>
                                  <w:color w:val="15406C"/>
                                  <w:sz w:val="18"/>
                                  <w:szCs w:val="18"/>
                                </w:rPr>
                              </w:pPr>
                              <w:hyperlink r:id="rId5"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tc>
                        </w:tr>
                      </w:tbl>
                      <w:p w:rsidR="002731CA" w:rsidRDefault="002731CA">
                        <w:pPr>
                          <w:rPr>
                            <w:rFonts w:eastAsia="Times New Roman"/>
                            <w:sz w:val="20"/>
                            <w:szCs w:val="20"/>
                          </w:rPr>
                        </w:pPr>
                      </w:p>
                    </w:tc>
                  </w:tr>
                </w:tbl>
                <w:p w:rsidR="002731CA" w:rsidRDefault="002731CA">
                  <w:pPr>
                    <w:rPr>
                      <w:rFonts w:eastAsia="Times New Roman"/>
                      <w:sz w:val="20"/>
                      <w:szCs w:val="20"/>
                    </w:rPr>
                  </w:pPr>
                </w:p>
              </w:tc>
            </w:tr>
            <w:tr w:rsidR="002731CA">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750"/>
                  </w:tblGrid>
                  <w:tr w:rsidR="002731CA">
                    <w:trPr>
                      <w:tblCellSpacing w:w="0" w:type="dxa"/>
                      <w:jc w:val="center"/>
                    </w:trPr>
                    <w:tc>
                      <w:tcPr>
                        <w:tcW w:w="0" w:type="auto"/>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731CA">
                          <w:trPr>
                            <w:tblCellSpacing w:w="0" w:type="dxa"/>
                            <w:jc w:val="center"/>
                          </w:trPr>
                          <w:tc>
                            <w:tcPr>
                              <w:tcW w:w="0" w:type="auto"/>
                              <w:hideMark/>
                            </w:tcPr>
                            <w:p w:rsidR="002731CA" w:rsidRDefault="002731CA">
                              <w:pPr>
                                <w:jc w:val="center"/>
                                <w:rPr>
                                  <w:rFonts w:eastAsia="Times New Roman"/>
                                </w:rPr>
                              </w:pPr>
                              <w:r>
                                <w:rPr>
                                  <w:rFonts w:eastAsia="Times New Roman"/>
                                  <w:noProof/>
                                </w:rPr>
                                <w:drawing>
                                  <wp:inline distT="0" distB="0" distL="0" distR="0">
                                    <wp:extent cx="6191250" cy="1838325"/>
                                    <wp:effectExtent l="0" t="0" r="0" b="9525"/>
                                    <wp:docPr id="3" name="Image 3" descr="http://img.fhp.fr/66842/X7mHZuI8W02H65DeuRBYfQ/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IIDAAuHwJCEBBFICtwuvuEstwABCEB" descr="http://img.fhp.fr/66842/X7mHZuI8W02H65DeuRBYfQ/image_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838325"/>
                                            </a:xfrm>
                                            <a:prstGeom prst="rect">
                                              <a:avLst/>
                                            </a:prstGeom>
                                            <a:noFill/>
                                            <a:ln>
                                              <a:noFill/>
                                            </a:ln>
                                          </pic:spPr>
                                        </pic:pic>
                                      </a:graphicData>
                                    </a:graphic>
                                  </wp:inline>
                                </w:drawing>
                              </w:r>
                            </w:p>
                          </w:tc>
                        </w:tr>
                      </w:tbl>
                      <w:p w:rsidR="002731CA" w:rsidRDefault="002731CA">
                        <w:pPr>
                          <w:jc w:val="center"/>
                          <w:rPr>
                            <w:rFonts w:eastAsia="Times New Roman"/>
                            <w:sz w:val="20"/>
                            <w:szCs w:val="20"/>
                          </w:rPr>
                        </w:pPr>
                      </w:p>
                    </w:tc>
                  </w:tr>
                </w:tbl>
                <w:p w:rsidR="002731CA" w:rsidRDefault="002731CA">
                  <w:pPr>
                    <w:jc w:val="center"/>
                    <w:rPr>
                      <w:rFonts w:eastAsia="Times New Roman"/>
                      <w:sz w:val="20"/>
                      <w:szCs w:val="20"/>
                    </w:rPr>
                  </w:pPr>
                </w:p>
              </w:tc>
            </w:tr>
          </w:tbl>
          <w:p w:rsidR="002731CA" w:rsidRDefault="002731CA">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731C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hideMark/>
                            </w:tcPr>
                            <w:p w:rsidR="002731CA" w:rsidRDefault="002731CA">
                              <w:pPr>
                                <w:rPr>
                                  <w:rFonts w:ascii="Arial" w:eastAsia="Times New Roman" w:hAnsi="Arial" w:cs="Arial"/>
                                  <w:color w:val="15406C"/>
                                  <w:sz w:val="18"/>
                                  <w:szCs w:val="18"/>
                                </w:rPr>
                              </w:pPr>
                              <w:r>
                                <w:rPr>
                                  <w:rStyle w:val="lev"/>
                                  <w:rFonts w:ascii="Arial" w:eastAsia="Times New Roman" w:hAnsi="Arial" w:cs="Arial"/>
                                  <w:color w:val="15406C"/>
                                  <w:sz w:val="18"/>
                                  <w:szCs w:val="18"/>
                                </w:rPr>
                                <w:t>Mercredi 6 décembre 2017</w:t>
                              </w:r>
                              <w:r>
                                <w:rPr>
                                  <w:rFonts w:ascii="Arial" w:eastAsia="Times New Roman" w:hAnsi="Arial" w:cs="Arial"/>
                                  <w:color w:val="15406C"/>
                                  <w:sz w:val="18"/>
                                  <w:szCs w:val="18"/>
                                </w:rPr>
                                <w:br/>
                                <w:t>Réf : 363-2017</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Informations Juridiques</w:t>
                              </w:r>
                            </w:p>
                          </w:tc>
                        </w:tr>
                      </w:tbl>
                      <w:p w:rsidR="002731CA" w:rsidRDefault="002731CA">
                        <w:pPr>
                          <w:rPr>
                            <w:rFonts w:eastAsia="Times New Roman"/>
                            <w:sz w:val="20"/>
                            <w:szCs w:val="20"/>
                          </w:rPr>
                        </w:pPr>
                      </w:p>
                    </w:tc>
                  </w:tr>
                </w:tbl>
                <w:p w:rsidR="002731CA" w:rsidRDefault="002731CA">
                  <w:pPr>
                    <w:rPr>
                      <w:rFonts w:eastAsia="Times New Roman"/>
                      <w:sz w:val="20"/>
                      <w:szCs w:val="20"/>
                    </w:rPr>
                  </w:pPr>
                </w:p>
              </w:tc>
            </w:tr>
            <w:tr w:rsidR="002731C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tcMar>
                                <w:top w:w="450" w:type="dxa"/>
                                <w:left w:w="450" w:type="dxa"/>
                                <w:bottom w:w="450" w:type="dxa"/>
                                <w:right w:w="450" w:type="dxa"/>
                              </w:tcMar>
                              <w:hideMark/>
                            </w:tcPr>
                            <w:p w:rsidR="002731CA" w:rsidRDefault="002731CA">
                              <w:pPr>
                                <w:pStyle w:val="NormalWeb"/>
                                <w:spacing w:before="0" w:beforeAutospacing="0" w:after="0" w:afterAutospacing="0"/>
                                <w:jc w:val="center"/>
                                <w:rPr>
                                  <w:rFonts w:ascii="Arial" w:hAnsi="Arial" w:cs="Arial"/>
                                  <w:color w:val="15406C"/>
                                  <w:sz w:val="18"/>
                                  <w:szCs w:val="18"/>
                                </w:rPr>
                              </w:pPr>
                              <w:r>
                                <w:rPr>
                                  <w:rStyle w:val="lev"/>
                                  <w:rFonts w:ascii="Arial" w:hAnsi="Arial" w:cs="Arial"/>
                                  <w:color w:val="FF0000"/>
                                  <w:sz w:val="39"/>
                                  <w:szCs w:val="39"/>
                                </w:rPr>
                                <w:t>MISE A JOUR</w:t>
                              </w:r>
                            </w:p>
                            <w:p w:rsidR="002731CA" w:rsidRDefault="002731CA">
                              <w:pPr>
                                <w:pStyle w:val="NormalWeb"/>
                                <w:spacing w:before="0" w:beforeAutospacing="0" w:after="0" w:afterAutospacing="0"/>
                                <w:jc w:val="center"/>
                                <w:rPr>
                                  <w:rFonts w:ascii="Arial" w:hAnsi="Arial" w:cs="Arial"/>
                                  <w:color w:val="15406C"/>
                                  <w:sz w:val="18"/>
                                  <w:szCs w:val="18"/>
                                </w:rPr>
                              </w:pPr>
                              <w:r>
                                <w:rPr>
                                  <w:rStyle w:val="lev"/>
                                  <w:rFonts w:ascii="Arial" w:hAnsi="Arial" w:cs="Arial"/>
                                  <w:color w:val="15406C"/>
                                  <w:sz w:val="39"/>
                                  <w:szCs w:val="39"/>
                                </w:rPr>
                                <w:t xml:space="preserve">Publication de l’arrêté du 29 novembre 2017 relatif à la commission d'autorisation d'exercice en pharmacie à usage intérieur </w:t>
                              </w:r>
                            </w:p>
                          </w:tc>
                        </w:tr>
                      </w:tbl>
                      <w:p w:rsidR="002731CA" w:rsidRDefault="002731CA">
                        <w:pPr>
                          <w:rPr>
                            <w:rFonts w:eastAsia="Times New Roman"/>
                            <w:sz w:val="20"/>
                            <w:szCs w:val="20"/>
                          </w:rPr>
                        </w:pPr>
                      </w:p>
                    </w:tc>
                  </w:tr>
                </w:tbl>
                <w:p w:rsidR="002731CA" w:rsidRDefault="002731CA">
                  <w:pPr>
                    <w:rPr>
                      <w:rFonts w:eastAsia="Times New Roman"/>
                      <w:sz w:val="20"/>
                      <w:szCs w:val="20"/>
                    </w:rPr>
                  </w:pPr>
                </w:p>
              </w:tc>
            </w:tr>
          </w:tbl>
          <w:p w:rsidR="002731CA" w:rsidRDefault="002731CA">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731C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tcPr>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Chère Adhérente, Cher Adhérent,</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Le décret du 29 mai 2017, confirmant la réforme des diplômes nécessaires à l’exercice en PUI, envisageait la possibilité, pour les pharmaciens en exercice au sein d'une pharmacie à usage intérieur avant le 31 décembre 2015 et ne remplissant pas les conditions prévues aux articles R. 5126-101-1 à R. 5126-101-4 (avoir un DES ou une équivalence au regard du temps de travail en PUI), de présenter jusqu'au 31 décembre 2017 un dossier en vue d'obtenir une autorisation d'exercice en pharmacie à usage intérieur. L’arrêté du 29 novembre 2017 (</w:t>
                              </w:r>
                              <w:hyperlink r:id="rId7" w:history="1">
                                <w:r>
                                  <w:rPr>
                                    <w:rStyle w:val="Lienhypertexte"/>
                                    <w:rFonts w:ascii="Arial" w:hAnsi="Arial" w:cs="Arial"/>
                                    <w:color w:val="3E21FF"/>
                                    <w:sz w:val="18"/>
                                    <w:szCs w:val="18"/>
                                  </w:rPr>
                                  <w:t>lien de l’arrêté</w:t>
                                </w:r>
                              </w:hyperlink>
                              <w:r>
                                <w:rPr>
                                  <w:rFonts w:ascii="Arial" w:hAnsi="Arial" w:cs="Arial"/>
                                  <w:color w:val="15406C"/>
                                  <w:sz w:val="18"/>
                                  <w:szCs w:val="18"/>
                                </w:rPr>
                                <w:t>), paru le 5 décembre 2017 au journal officiel, créé la commission chargée d’étudier ces dossiers, en établit son contenu et permet désormais effectivement de déposer ce dossier.</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Cet arrêté rend le dispositif de réforme PUI opérationnel et annule toute circulaire ou instruction suspendant son application.</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rPr>
                                  <w:rFonts w:ascii="Arial" w:eastAsia="Times New Roman" w:hAnsi="Arial" w:cs="Arial"/>
                                  <w:color w:val="15406C"/>
                                  <w:sz w:val="18"/>
                                  <w:szCs w:val="18"/>
                                </w:rPr>
                              </w:pPr>
                              <w:r>
                                <w:rPr>
                                  <w:rStyle w:val="lev"/>
                                  <w:rFonts w:ascii="Arial" w:eastAsia="Times New Roman" w:hAnsi="Arial" w:cs="Arial"/>
                                  <w:color w:val="FF0000"/>
                                  <w:sz w:val="18"/>
                                  <w:szCs w:val="18"/>
                                </w:rPr>
                                <w:t>Ce que nous avons obtenu :</w:t>
                              </w:r>
                              <w:r>
                                <w:rPr>
                                  <w:rFonts w:ascii="Arial" w:eastAsia="Times New Roman" w:hAnsi="Arial" w:cs="Arial"/>
                                  <w:color w:val="15406C"/>
                                  <w:sz w:val="18"/>
                                  <w:szCs w:val="18"/>
                                </w:rPr>
                                <w:t xml:space="preserve"> </w:t>
                              </w:r>
                            </w:p>
                            <w:p w:rsidR="002731CA" w:rsidRDefault="002731CA">
                              <w:pPr>
                                <w:numPr>
                                  <w:ilvl w:val="0"/>
                                  <w:numId w:val="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La présence de la FHP et d’un pharmacien exerçant dans une PUI d’un « établissement privé à but lucratif » au sein de cette commission</w:t>
                              </w:r>
                            </w:p>
                            <w:p w:rsidR="002731CA" w:rsidRDefault="002731CA">
                              <w:pPr>
                                <w:pStyle w:val="NormalWeb"/>
                                <w:spacing w:before="0" w:beforeAutospacing="0" w:after="0" w:afterAutospacing="0"/>
                                <w:jc w:val="both"/>
                                <w:rPr>
                                  <w:rFonts w:ascii="Arial" w:hAnsi="Arial" w:cs="Arial"/>
                                  <w:color w:val="15406C"/>
                                  <w:sz w:val="18"/>
                                  <w:szCs w:val="18"/>
                                </w:rPr>
                              </w:pPr>
                              <w:r>
                                <w:rPr>
                                  <w:rStyle w:val="lev"/>
                                  <w:rFonts w:ascii="Arial" w:hAnsi="Arial" w:cs="Arial"/>
                                  <w:color w:val="FF0000"/>
                                  <w:sz w:val="18"/>
                                  <w:szCs w:val="18"/>
                                </w:rPr>
                                <w:t>Ce que nous vous conseillons de faire :</w:t>
                              </w:r>
                            </w:p>
                            <w:p w:rsidR="002731CA" w:rsidRDefault="002731CA">
                              <w:pPr>
                                <w:numPr>
                                  <w:ilvl w:val="0"/>
                                  <w:numId w:val="2"/>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Pour les pharmaciens ayant exercés au moins une fois en PUI en 2015 et n’ayant pas l’équivalence : il faut envoyer un dossier complet au plus vite à l’Ordre National des Pharmaciens </w:t>
                              </w:r>
                            </w:p>
                            <w:p w:rsidR="002731CA" w:rsidRDefault="002731CA">
                              <w:pPr>
                                <w:numPr>
                                  <w:ilvl w:val="0"/>
                                  <w:numId w:val="2"/>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Pour ceux n’ayant pas exercé en 2015, il est conseillé d’envoyer un dossier au ministère de la santé en demandant une dérogation. </w:t>
                              </w:r>
                            </w:p>
                            <w:p w:rsidR="002731CA" w:rsidRDefault="002731CA">
                              <w:pPr>
                                <w:pStyle w:val="NormalWeb"/>
                                <w:spacing w:before="0" w:beforeAutospacing="0" w:after="0" w:afterAutospacing="0"/>
                                <w:jc w:val="both"/>
                                <w:rPr>
                                  <w:rFonts w:ascii="Arial" w:hAnsi="Arial" w:cs="Arial"/>
                                  <w:color w:val="15406C"/>
                                  <w:sz w:val="18"/>
                                  <w:szCs w:val="18"/>
                                </w:rPr>
                              </w:pPr>
                              <w:r>
                                <w:rPr>
                                  <w:rStyle w:val="lev"/>
                                  <w:rFonts w:ascii="Arial" w:hAnsi="Arial" w:cs="Arial"/>
                                  <w:color w:val="FF0000"/>
                                  <w:sz w:val="18"/>
                                  <w:szCs w:val="18"/>
                                </w:rPr>
                                <w:t>Ce que nous demandons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xml:space="preserve">Nous continuerons à affirmer nos demandes d’élargissement des règles de validation de la commission ainsi que la création de « passerelle » entre la pharmacie de ville et la pharmacie en PUI.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rPr>
                                  <w:rFonts w:ascii="Arial" w:eastAsia="Times New Roman" w:hAnsi="Arial" w:cs="Arial"/>
                                  <w:color w:val="15406C"/>
                                  <w:sz w:val="18"/>
                                  <w:szCs w:val="18"/>
                                </w:rPr>
                              </w:pPr>
                              <w:r>
                                <w:rPr>
                                  <w:rFonts w:ascii="Arial" w:eastAsia="Times New Roman" w:hAnsi="Arial" w:cs="Arial"/>
                                  <w:color w:val="15406C"/>
                                  <w:sz w:val="18"/>
                                  <w:szCs w:val="18"/>
                                </w:rPr>
                                <w:t>Pour toute question ou remontée d'observations sur la PUI, notre service juridique est à votre entière disposition. Vous pouvez le contacter soit par mail (</w:t>
                              </w:r>
                              <w:hyperlink r:id="rId8" w:history="1">
                                <w:r>
                                  <w:rPr>
                                    <w:rStyle w:val="Lienhypertexte"/>
                                    <w:rFonts w:ascii="Arial" w:eastAsia="Times New Roman" w:hAnsi="Arial" w:cs="Arial"/>
                                    <w:sz w:val="18"/>
                                    <w:szCs w:val="18"/>
                                  </w:rPr>
                                  <w:t>gregory.caumes@fhp.fr</w:t>
                                </w:r>
                              </w:hyperlink>
                              <w:r>
                                <w:rPr>
                                  <w:rFonts w:ascii="Arial" w:eastAsia="Times New Roman" w:hAnsi="Arial" w:cs="Arial"/>
                                  <w:color w:val="15406C"/>
                                  <w:sz w:val="18"/>
                                  <w:szCs w:val="18"/>
                                </w:rPr>
                                <w:t xml:space="preserve">) ou par téléphone (01 53 83 56 60).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Nous vous souhaitons bonne lecture, et vous prions d'agréer, Chère Adhérente, Cher Adhérent, nos salutations amicales et dévouées.</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rPr>
                                  <w:rFonts w:ascii="Arial" w:eastAsia="Times New Roman" w:hAnsi="Arial" w:cs="Arial"/>
                                  <w:color w:val="15406C"/>
                                  <w:sz w:val="18"/>
                                  <w:szCs w:val="18"/>
                                </w:rPr>
                              </w:pPr>
                              <w:r>
                                <w:rPr>
                                  <w:rFonts w:ascii="Arial" w:eastAsia="Times New Roman" w:hAnsi="Arial" w:cs="Arial"/>
                                  <w:color w:val="15406C"/>
                                  <w:sz w:val="18"/>
                                  <w:szCs w:val="18"/>
                                </w:rPr>
                                <w:t xml:space="preserve">________________________________________ </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15406C"/>
                                  <w:sz w:val="18"/>
                                  <w:szCs w:val="18"/>
                                </w:rPr>
                                <w:t>L'essentiel à retenir :</w:t>
                              </w:r>
                              <w:r>
                                <w:rPr>
                                  <w:rFonts w:ascii="Arial" w:eastAsia="Times New Roman" w:hAnsi="Arial" w:cs="Arial"/>
                                  <w:color w:val="15406C"/>
                                  <w:sz w:val="18"/>
                                  <w:szCs w:val="18"/>
                                </w:rPr>
                                <w:t xml:space="preserve"> </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FF0000"/>
                                  <w:sz w:val="18"/>
                                  <w:szCs w:val="18"/>
                                </w:rPr>
                                <w:t>Rappel des apports du 1er décret PUI</w:t>
                              </w:r>
                              <w:r>
                                <w:rPr>
                                  <w:rStyle w:val="lev"/>
                                  <w:rFonts w:ascii="Arial" w:eastAsia="Times New Roman" w:hAnsi="Arial" w:cs="Arial"/>
                                  <w:color w:val="15406C"/>
                                  <w:sz w:val="18"/>
                                  <w:szCs w:val="18"/>
                                </w:rPr>
                                <w:t xml:space="preserve"> (</w:t>
                              </w:r>
                              <w:hyperlink r:id="rId9" w:history="1">
                                <w:r>
                                  <w:rPr>
                                    <w:rStyle w:val="Lienhypertexte"/>
                                    <w:rFonts w:ascii="Arial" w:eastAsia="Times New Roman" w:hAnsi="Arial" w:cs="Arial"/>
                                    <w:b/>
                                    <w:bCs/>
                                    <w:color w:val="3E21FF"/>
                                    <w:sz w:val="18"/>
                                    <w:szCs w:val="18"/>
                                  </w:rPr>
                                  <w:t>décret</w:t>
                                </w:r>
                              </w:hyperlink>
                              <w:r>
                                <w:rPr>
                                  <w:rStyle w:val="lev"/>
                                  <w:rFonts w:ascii="Arial" w:eastAsia="Times New Roman" w:hAnsi="Arial" w:cs="Arial"/>
                                  <w:color w:val="15406C"/>
                                  <w:sz w:val="18"/>
                                  <w:szCs w:val="18"/>
                                </w:rPr>
                                <w:t>) :</w:t>
                              </w:r>
                            </w:p>
                            <w:p w:rsidR="002731CA" w:rsidRDefault="002731CA">
                              <w:pPr>
                                <w:numPr>
                                  <w:ilvl w:val="0"/>
                                  <w:numId w:val="3"/>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Seuls les pharmaciens titulaires d’un DES de pharmacie hospitalière et des collectivités, d’un DES de pharmacie industrielle et biomédicale ou d’un DES de pharmacie pourront travailler dans une PUI (des dérogations sont possibles). </w:t>
                              </w:r>
                            </w:p>
                            <w:p w:rsidR="002731CA" w:rsidRDefault="002731CA">
                              <w:pPr>
                                <w:numPr>
                                  <w:ilvl w:val="0"/>
                                  <w:numId w:val="3"/>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Le texte précise les conditions nécessaires au recrutement de pharmaciens étrangers. </w:t>
                              </w:r>
                            </w:p>
                            <w:p w:rsidR="002731CA" w:rsidRDefault="002731CA">
                              <w:pPr>
                                <w:numPr>
                                  <w:ilvl w:val="0"/>
                                  <w:numId w:val="3"/>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Sous certaines conditions, un interne en pharmacie peut remplacer un pharmacien en PUI (sauf le pharmacien gérant).</w:t>
                              </w:r>
                            </w:p>
                            <w:p w:rsidR="002731CA" w:rsidRDefault="002731CA">
                              <w:pPr>
                                <w:rPr>
                                  <w:rFonts w:ascii="Arial" w:eastAsia="Times New Roman" w:hAnsi="Arial" w:cs="Arial"/>
                                  <w:color w:val="15406C"/>
                                  <w:sz w:val="18"/>
                                  <w:szCs w:val="18"/>
                                </w:rPr>
                              </w:pPr>
                              <w:r>
                                <w:rPr>
                                  <w:rStyle w:val="lev"/>
                                  <w:rFonts w:ascii="Arial" w:eastAsia="Times New Roman" w:hAnsi="Arial" w:cs="Arial"/>
                                  <w:color w:val="FF0000"/>
                                  <w:sz w:val="18"/>
                                  <w:szCs w:val="18"/>
                                </w:rPr>
                                <w:t>Ce qu’apporte le décret du 9 mai 2017:</w:t>
                              </w:r>
                            </w:p>
                            <w:p w:rsidR="002731CA" w:rsidRDefault="002731CA">
                              <w:pPr>
                                <w:numPr>
                                  <w:ilvl w:val="0"/>
                                  <w:numId w:val="4"/>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Ce décret modifie la période au cours de laquelle les pharmaciens non titulaires du diplôme d'études spécialisées de pharmacie peuvent exercer en pharmacie à usage intérieur lorsqu'ils justifient d'un exercice minimal au sein d'une pharmacie à usage intérieur. Cette période, initialement comprise entre le 1er septembre 2016 et le 1er septembre 2024, est reportée du 1er juin 2017 au 1er juin 2025. </w:t>
                              </w:r>
                            </w:p>
                            <w:p w:rsidR="002731CA" w:rsidRDefault="002731CA">
                              <w:pPr>
                                <w:numPr>
                                  <w:ilvl w:val="0"/>
                                  <w:numId w:val="4"/>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Les pharmaciens en exercice au sein d'une pharmacie à usage intérieur avant le 31 décembre 2015 et n’ayant ni le DES ni l’équivalence de temps pour exercer en PUI peuvent présenter jusqu'au 31 décembre 2017 un dossier en vue d'obtenir une autorisation d'exercice en pharmacie à usage intérieur. (Ce point sera explicité par arrêté) </w:t>
                              </w:r>
                            </w:p>
                            <w:p w:rsidR="002731CA" w:rsidRDefault="002731CA">
                              <w:pPr>
                                <w:numPr>
                                  <w:ilvl w:val="0"/>
                                  <w:numId w:val="4"/>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Ce décret précise les modalités d'organisation du développement professionnel continu des professionnels de santé.</w:t>
                              </w:r>
                            </w:p>
                            <w:p w:rsidR="002731CA" w:rsidRDefault="002731CA">
                              <w:pPr>
                                <w:pStyle w:val="NormalWeb"/>
                                <w:spacing w:before="0" w:beforeAutospacing="0" w:after="0" w:afterAutospacing="0"/>
                                <w:jc w:val="both"/>
                                <w:rPr>
                                  <w:rFonts w:ascii="Arial" w:hAnsi="Arial" w:cs="Arial"/>
                                  <w:color w:val="15406C"/>
                                  <w:sz w:val="18"/>
                                  <w:szCs w:val="18"/>
                                </w:rPr>
                              </w:pPr>
                              <w:r>
                                <w:rPr>
                                  <w:rStyle w:val="lev"/>
                                  <w:rFonts w:ascii="Arial" w:hAnsi="Arial" w:cs="Arial"/>
                                  <w:color w:val="FF0000"/>
                                  <w:sz w:val="18"/>
                                  <w:szCs w:val="18"/>
                                </w:rPr>
                                <w:t>Ce qu’apporte l’arrêté du 29 novembre 2017 :</w:t>
                              </w:r>
                            </w:p>
                            <w:p w:rsidR="002731CA" w:rsidRDefault="002731CA">
                              <w:pPr>
                                <w:numPr>
                                  <w:ilvl w:val="0"/>
                                  <w:numId w:val="5"/>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La Création de la Commission d’autorisation d’exercice en PUI</w:t>
                              </w:r>
                            </w:p>
                            <w:p w:rsidR="002731CA" w:rsidRDefault="002731CA">
                              <w:pPr>
                                <w:numPr>
                                  <w:ilvl w:val="0"/>
                                  <w:numId w:val="5"/>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La Composition du dossier à remettre à la commission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Une lettre de demande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Une photocopie lisible d'une pièce d'identité en cours de validité à la date de dépôt du dossier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Un curriculum vitae détaillé décrivant le cursus professionnel du candidat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Une copie du diplôme de pharmacien, accompagnée, le cas échéant, d'une traduction par un traducteur agréé ;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5° Une copie des autres diplômes, certificats ou titres, le cas échéant ;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Une copie de l'autorisation d'exercice délivrée en application des articles L. 4221-9, L. 4221-12, L. 4221-14-1, L. 4221-14-2, le cas échéant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Une attestation établie par le ou les employeurs, justifiant d'un exercice au sein d'une pharmacie à usage intérieur avant le 31 décembre 2015, indiquant les fonctions, le temps de travail et les périodes concernées ; </w:t>
                              </w:r>
                            </w:p>
                            <w:p w:rsidR="002731CA" w:rsidRDefault="002731CA">
                              <w:pPr>
                                <w:numPr>
                                  <w:ilvl w:val="1"/>
                                  <w:numId w:val="6"/>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 xml:space="preserve">Toutes pièces utiles justifiant des formations continues, de l'expérience et des compétences acquises au cours de l'exercice professionnel dans un Etat membre de l'Union européenne ou un autre Etat partie à l'accord sur l'Espace économique européen, ou dans un Etat tiers, le cas échéant. </w:t>
                              </w:r>
                            </w:p>
                            <w:p w:rsidR="002731CA" w:rsidRDefault="002731CA">
                              <w:pPr>
                                <w:numPr>
                                  <w:ilvl w:val="0"/>
                                  <w:numId w:val="7"/>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18"/>
                                  <w:szCs w:val="18"/>
                                </w:rPr>
                                <w:t>Les modalités pratiques d’envoi du dossier de demande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xml:space="preserve">Les dossiers doivent être adressés, en deux exemplaires, par lettre recommandée avec accusé de réception au secrétariat du Conseil national de l'ordre des pharmaciens, 4, avenue </w:t>
                              </w:r>
                              <w:proofErr w:type="spellStart"/>
                              <w:r>
                                <w:rPr>
                                  <w:rFonts w:ascii="Arial" w:hAnsi="Arial" w:cs="Arial"/>
                                  <w:color w:val="15406C"/>
                                  <w:sz w:val="18"/>
                                  <w:szCs w:val="18"/>
                                </w:rPr>
                                <w:t>Ruysdaël</w:t>
                              </w:r>
                              <w:proofErr w:type="spellEnd"/>
                              <w:r>
                                <w:rPr>
                                  <w:rFonts w:ascii="Arial" w:hAnsi="Arial" w:cs="Arial"/>
                                  <w:color w:val="15406C"/>
                                  <w:sz w:val="18"/>
                                  <w:szCs w:val="18"/>
                                </w:rPr>
                                <w:t>, 75379 Paris Cedex 08.</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Le secrétariat du Conseil national de l'ordre des pharmaciens accuse réception de la demande dans le délai d'un mois à compter de sa réception. Il informe l'intéressé, le cas échéant, de tout document manquant. La réception d'un dossier complet par le secrétariat de la commission est le point de départ des délais prévus par l'article 7 du décret n° 2017-883 du 9 mai 2017.</w:t>
                              </w:r>
                            </w:p>
                            <w:p w:rsidR="002731CA" w:rsidRDefault="002731CA">
                              <w:pPr>
                                <w:pStyle w:val="NormalWeb"/>
                                <w:spacing w:before="0" w:beforeAutospacing="0" w:after="0" w:afterAutospacing="0"/>
                                <w:jc w:val="both"/>
                                <w:rPr>
                                  <w:rFonts w:ascii="Arial" w:hAnsi="Arial" w:cs="Arial"/>
                                  <w:color w:val="15406C"/>
                                  <w:sz w:val="18"/>
                                  <w:szCs w:val="18"/>
                                </w:rPr>
                              </w:pPr>
                              <w:r>
                                <w:rPr>
                                  <w:rStyle w:val="lev"/>
                                  <w:rFonts w:ascii="Arial" w:hAnsi="Arial" w:cs="Arial"/>
                                  <w:color w:val="15406C"/>
                                  <w:sz w:val="18"/>
                                  <w:szCs w:val="18"/>
                                </w:rPr>
                                <w:t xml:space="preserve">Michel </w:t>
                              </w:r>
                              <w:proofErr w:type="spellStart"/>
                              <w:r>
                                <w:rPr>
                                  <w:rStyle w:val="lev"/>
                                  <w:rFonts w:ascii="Arial" w:hAnsi="Arial" w:cs="Arial"/>
                                  <w:color w:val="15406C"/>
                                  <w:sz w:val="18"/>
                                  <w:szCs w:val="18"/>
                                </w:rPr>
                                <w:t>Ballereau</w:t>
                              </w:r>
                              <w:proofErr w:type="spellEnd"/>
                              <w:r>
                                <w:rPr>
                                  <w:rStyle w:val="lev"/>
                                  <w:rFonts w:ascii="Arial" w:hAnsi="Arial" w:cs="Arial"/>
                                  <w:color w:val="15406C"/>
                                  <w:sz w:val="18"/>
                                  <w:szCs w:val="18"/>
                                </w:rPr>
                                <w:t>,</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Délégué général</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xml:space="preserve">________________________________________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color w:val="15406C"/>
                                  <w:sz w:val="18"/>
                                  <w:szCs w:val="18"/>
                                </w:rPr>
                                <w:t> </w:t>
                              </w:r>
                            </w:p>
                            <w:p w:rsidR="002731CA" w:rsidRDefault="002731CA">
                              <w:pPr>
                                <w:pStyle w:val="NormalWeb"/>
                                <w:spacing w:before="0" w:beforeAutospacing="0" w:after="0" w:afterAutospacing="0"/>
                                <w:jc w:val="both"/>
                                <w:rPr>
                                  <w:rFonts w:ascii="Arial" w:hAnsi="Arial" w:cs="Arial"/>
                                  <w:color w:val="15406C"/>
                                  <w:sz w:val="18"/>
                                  <w:szCs w:val="18"/>
                                </w:rPr>
                              </w:pPr>
                              <w:r>
                                <w:rPr>
                                  <w:rFonts w:ascii="Arial" w:hAnsi="Arial" w:cs="Arial"/>
                                  <w:noProof/>
                                  <w:color w:val="15406C"/>
                                  <w:sz w:val="18"/>
                                  <w:szCs w:val="18"/>
                                </w:rPr>
                                <w:drawing>
                                  <wp:inline distT="0" distB="0" distL="0" distR="0">
                                    <wp:extent cx="1857375" cy="552450"/>
                                    <wp:effectExtent l="0" t="0" r="9525" b="0"/>
                                    <wp:docPr id="2" name="Image 2" descr="http://img.fhp.fr/66842/X7mHZuI8W02H65DeuRBYfQ/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wFrHFCDHBsEAsFsutFuwJsuEvACtAA" descr="http://img.fhp.fr/66842/X7mHZuI8W02H65DeuRBYfQ/te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552450"/>
                                            </a:xfrm>
                                            <a:prstGeom prst="rect">
                                              <a:avLst/>
                                            </a:prstGeom>
                                            <a:noFill/>
                                            <a:ln>
                                              <a:noFill/>
                                            </a:ln>
                                          </pic:spPr>
                                        </pic:pic>
                                      </a:graphicData>
                                    </a:graphic>
                                  </wp:inline>
                                </w:drawing>
                              </w:r>
                            </w:p>
                            <w:p w:rsidR="002731CA" w:rsidRDefault="002731CA">
                              <w:pPr>
                                <w:numPr>
                                  <w:ilvl w:val="0"/>
                                  <w:numId w:val="8"/>
                                </w:numPr>
                                <w:spacing w:before="100" w:beforeAutospacing="1" w:after="100" w:afterAutospacing="1"/>
                                <w:rPr>
                                  <w:rFonts w:ascii="Arial" w:eastAsia="Times New Roman" w:hAnsi="Arial" w:cs="Arial"/>
                                  <w:color w:val="15406C"/>
                                  <w:sz w:val="18"/>
                                  <w:szCs w:val="18"/>
                                </w:rPr>
                              </w:pPr>
                              <w:hyperlink r:id="rId11" w:history="1">
                                <w:r>
                                  <w:rPr>
                                    <w:rStyle w:val="Lienhypertexte"/>
                                    <w:rFonts w:ascii="Arial" w:eastAsia="Times New Roman" w:hAnsi="Arial" w:cs="Arial"/>
                                    <w:color w:val="3E21FF"/>
                                    <w:sz w:val="18"/>
                                    <w:szCs w:val="18"/>
                                  </w:rPr>
                                  <w:t>Arrêté PUI</w:t>
                                </w:r>
                              </w:hyperlink>
                            </w:p>
                            <w:p w:rsidR="002731CA" w:rsidRDefault="002731CA">
                              <w:pPr>
                                <w:numPr>
                                  <w:ilvl w:val="0"/>
                                  <w:numId w:val="8"/>
                                </w:numPr>
                                <w:spacing w:before="100" w:beforeAutospacing="1" w:after="100" w:afterAutospacing="1"/>
                                <w:rPr>
                                  <w:rFonts w:ascii="Arial" w:eastAsia="Times New Roman" w:hAnsi="Arial" w:cs="Arial"/>
                                  <w:color w:val="15406C"/>
                                  <w:sz w:val="18"/>
                                  <w:szCs w:val="18"/>
                                </w:rPr>
                              </w:pPr>
                              <w:hyperlink r:id="rId12" w:history="1">
                                <w:r>
                                  <w:rPr>
                                    <w:rStyle w:val="Lienhypertexte"/>
                                    <w:rFonts w:ascii="Arial" w:eastAsia="Times New Roman" w:hAnsi="Arial" w:cs="Arial"/>
                                    <w:color w:val="3E21FF"/>
                                    <w:sz w:val="18"/>
                                    <w:szCs w:val="18"/>
                                  </w:rPr>
                                  <w:t>Flash PUI du 13 juin 2017</w:t>
                                </w:r>
                              </w:hyperlink>
                            </w:p>
                            <w:p w:rsidR="002731CA" w:rsidRDefault="002731CA">
                              <w:pPr>
                                <w:numPr>
                                  <w:ilvl w:val="0"/>
                                  <w:numId w:val="8"/>
                                </w:numPr>
                                <w:spacing w:before="100" w:beforeAutospacing="1" w:after="100" w:afterAutospacing="1"/>
                                <w:rPr>
                                  <w:rStyle w:val="Lienhypertexte"/>
                                  <w:color w:val="3E21FF"/>
                                </w:rPr>
                              </w:pPr>
                              <w:bookmarkStart w:id="0" w:name="_GoBack"/>
                              <w:bookmarkEnd w:id="0"/>
                            </w:p>
                            <w:p w:rsidR="002731CA" w:rsidRDefault="002731CA">
                              <w:pPr>
                                <w:spacing w:before="100" w:beforeAutospacing="1" w:after="100" w:afterAutospacing="1"/>
                                <w:ind w:left="720"/>
                              </w:pPr>
                              <w:hyperlink r:id="rId13" w:history="1">
                                <w:r>
                                  <w:rPr>
                                    <w:rStyle w:val="Lienhypertexte"/>
                                    <w:rFonts w:ascii="Arial" w:eastAsia="Times New Roman" w:hAnsi="Arial" w:cs="Arial"/>
                                    <w:color w:val="3E21FF"/>
                                    <w:sz w:val="18"/>
                                    <w:szCs w:val="18"/>
                                  </w:rPr>
                                  <w:t>Flash PUI du 21/12/2016</w:t>
                                </w:r>
                              </w:hyperlink>
                            </w:p>
                            <w:p w:rsidR="002731CA" w:rsidRDefault="002731CA">
                              <w:pPr>
                                <w:spacing w:before="100" w:beforeAutospacing="1" w:after="100" w:afterAutospacing="1"/>
                                <w:ind w:left="720"/>
                                <w:rPr>
                                  <w:rFonts w:ascii="Arial" w:eastAsia="Times New Roman" w:hAnsi="Arial" w:cs="Arial"/>
                                  <w:color w:val="15406C"/>
                                  <w:sz w:val="18"/>
                                  <w:szCs w:val="18"/>
                                </w:rPr>
                              </w:pPr>
                            </w:p>
                          </w:tc>
                        </w:tr>
                      </w:tbl>
                      <w:p w:rsidR="002731CA" w:rsidRDefault="002731CA">
                        <w:pPr>
                          <w:rPr>
                            <w:rFonts w:eastAsia="Times New Roman"/>
                            <w:sz w:val="20"/>
                            <w:szCs w:val="20"/>
                          </w:rPr>
                        </w:pPr>
                      </w:p>
                    </w:tc>
                  </w:tr>
                </w:tbl>
                <w:p w:rsidR="002731CA" w:rsidRDefault="002731CA">
                  <w:pPr>
                    <w:rPr>
                      <w:rFonts w:eastAsia="Times New Roman"/>
                      <w:sz w:val="20"/>
                      <w:szCs w:val="20"/>
                    </w:rPr>
                  </w:pPr>
                </w:p>
              </w:tc>
            </w:tr>
          </w:tbl>
          <w:p w:rsidR="002731CA" w:rsidRDefault="002731CA">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731CA">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2731CA">
                          <w:trPr>
                            <w:tblCellSpacing w:w="0" w:type="dxa"/>
                          </w:trPr>
                          <w:tc>
                            <w:tcPr>
                              <w:tcW w:w="0" w:type="auto"/>
                              <w:tcMar>
                                <w:top w:w="120" w:type="dxa"/>
                                <w:left w:w="120" w:type="dxa"/>
                                <w:bottom w:w="120" w:type="dxa"/>
                                <w:right w:w="120" w:type="dxa"/>
                              </w:tcMar>
                              <w:hideMark/>
                            </w:tcPr>
                            <w:p w:rsidR="002731CA" w:rsidRDefault="002731CA">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2731CA" w:rsidRDefault="002731CA">
                        <w:pPr>
                          <w:rPr>
                            <w:rFonts w:eastAsia="Times New Roman"/>
                            <w:sz w:val="20"/>
                            <w:szCs w:val="20"/>
                          </w:rPr>
                        </w:pPr>
                      </w:p>
                    </w:tc>
                  </w:tr>
                </w:tbl>
                <w:p w:rsidR="002731CA" w:rsidRDefault="002731CA">
                  <w:pPr>
                    <w:rPr>
                      <w:rFonts w:eastAsia="Times New Roman"/>
                      <w:sz w:val="20"/>
                      <w:szCs w:val="20"/>
                    </w:rPr>
                  </w:pPr>
                </w:p>
              </w:tc>
            </w:tr>
            <w:tr w:rsidR="002731CA">
              <w:trPr>
                <w:tblCellSpacing w:w="0" w:type="dxa"/>
                <w:jc w:val="center"/>
              </w:trPr>
              <w:tc>
                <w:tcPr>
                  <w:tcW w:w="0" w:type="auto"/>
                  <w:shd w:val="clear" w:color="auto" w:fill="CEE9FD"/>
                  <w:hideMark/>
                </w:tcPr>
                <w:tbl>
                  <w:tblPr>
                    <w:tblW w:w="0" w:type="auto"/>
                    <w:tblCellSpacing w:w="0" w:type="dxa"/>
                    <w:tblCellMar>
                      <w:left w:w="0" w:type="dxa"/>
                      <w:right w:w="0" w:type="dxa"/>
                    </w:tblCellMar>
                    <w:tblLook w:val="04A0" w:firstRow="1" w:lastRow="0" w:firstColumn="1" w:lastColumn="0" w:noHBand="0" w:noVBand="1"/>
                  </w:tblPr>
                  <w:tblGrid>
                    <w:gridCol w:w="6480"/>
                    <w:gridCol w:w="3240"/>
                  </w:tblGrid>
                  <w:tr w:rsidR="002731CA">
                    <w:trPr>
                      <w:tblCellSpacing w:w="0" w:type="dxa"/>
                    </w:trPr>
                    <w:tc>
                      <w:tcPr>
                        <w:tcW w:w="0" w:type="auto"/>
                        <w:hideMark/>
                      </w:tcPr>
                      <w:tbl>
                        <w:tblPr>
                          <w:tblpPr w:vertAnchor="text"/>
                          <w:tblW w:w="6480" w:type="dxa"/>
                          <w:tblCellSpacing w:w="0" w:type="dxa"/>
                          <w:tblCellMar>
                            <w:left w:w="0" w:type="dxa"/>
                            <w:right w:w="0" w:type="dxa"/>
                          </w:tblCellMar>
                          <w:tblLook w:val="04A0" w:firstRow="1" w:lastRow="0" w:firstColumn="1" w:lastColumn="0" w:noHBand="0" w:noVBand="1"/>
                        </w:tblPr>
                        <w:tblGrid>
                          <w:gridCol w:w="6480"/>
                        </w:tblGrid>
                        <w:tr w:rsidR="002731CA">
                          <w:trPr>
                            <w:tblCellSpacing w:w="0" w:type="dxa"/>
                          </w:trPr>
                          <w:tc>
                            <w:tcPr>
                              <w:tcW w:w="0" w:type="auto"/>
                              <w:tcMar>
                                <w:top w:w="330" w:type="dxa"/>
                                <w:left w:w="330" w:type="dxa"/>
                                <w:bottom w:w="330" w:type="dxa"/>
                                <w:right w:w="330" w:type="dxa"/>
                              </w:tcMar>
                              <w:hideMark/>
                            </w:tcPr>
                            <w:p w:rsidR="002731CA" w:rsidRDefault="002731CA">
                              <w:pPr>
                                <w:spacing w:after="240"/>
                                <w:rPr>
                                  <w:rFonts w:ascii="Arial" w:eastAsia="Times New Roman" w:hAnsi="Arial" w:cs="Arial"/>
                                  <w:color w:val="15406C"/>
                                  <w:sz w:val="18"/>
                                  <w:szCs w:val="18"/>
                                </w:rPr>
                              </w:pPr>
                              <w:r>
                                <w:rPr>
                                  <w:rStyle w:val="lev"/>
                                  <w:rFonts w:ascii="Arial" w:eastAsia="Times New Roman" w:hAnsi="Arial" w:cs="Arial"/>
                                  <w:color w:val="15406C"/>
                                  <w:sz w:val="18"/>
                                  <w:szCs w:val="18"/>
                                </w:rPr>
                                <w:t>Contact : Direction de la Prospective économique, médicale et juridique</w:t>
                              </w:r>
                              <w:r>
                                <w:rPr>
                                  <w:rFonts w:ascii="Arial" w:eastAsia="Times New Roman" w:hAnsi="Arial" w:cs="Arial"/>
                                  <w:color w:val="15406C"/>
                                  <w:sz w:val="18"/>
                                  <w:szCs w:val="18"/>
                                </w:rPr>
                                <w:br/>
                              </w:r>
                              <w:r>
                                <w:rPr>
                                  <w:rStyle w:val="lev"/>
                                  <w:rFonts w:ascii="Arial" w:eastAsia="Times New Roman" w:hAnsi="Arial" w:cs="Arial"/>
                                  <w:color w:val="15406C"/>
                                  <w:sz w:val="18"/>
                                  <w:szCs w:val="18"/>
                                </w:rPr>
                                <w:t xml:space="preserve">Grégory CAUMES </w:t>
                              </w:r>
                              <w:r>
                                <w:rPr>
                                  <w:rFonts w:ascii="Arial" w:eastAsia="Times New Roman" w:hAnsi="Arial" w:cs="Arial"/>
                                  <w:color w:val="15406C"/>
                                  <w:sz w:val="18"/>
                                  <w:szCs w:val="18"/>
                                </w:rPr>
                                <w:br/>
                                <w:t>Responsable des Affaires Juridiques</w:t>
                              </w:r>
                              <w:r>
                                <w:rPr>
                                  <w:rFonts w:ascii="Arial" w:eastAsia="Times New Roman" w:hAnsi="Arial" w:cs="Arial"/>
                                  <w:color w:val="15406C"/>
                                  <w:sz w:val="18"/>
                                  <w:szCs w:val="18"/>
                                </w:rPr>
                                <w:br/>
                                <w:t xml:space="preserve">Tél. 01 53 83 56 56 - </w:t>
                              </w:r>
                              <w:hyperlink r:id="rId14" w:history="1">
                                <w:r>
                                  <w:rPr>
                                    <w:rStyle w:val="Lienhypertexte"/>
                                    <w:rFonts w:ascii="Arial" w:eastAsia="Times New Roman" w:hAnsi="Arial" w:cs="Arial"/>
                                    <w:color w:val="3E21FF"/>
                                    <w:sz w:val="18"/>
                                    <w:szCs w:val="18"/>
                                  </w:rPr>
                                  <w:t>gregory.caumes@fhp.fr</w:t>
                                </w:r>
                              </w:hyperlink>
                              <w:r>
                                <w:rPr>
                                  <w:rFonts w:ascii="Arial" w:eastAsia="Times New Roman" w:hAnsi="Arial" w:cs="Arial"/>
                                  <w:color w:val="15406C"/>
                                  <w:sz w:val="18"/>
                                  <w:szCs w:val="18"/>
                                </w:rPr>
                                <w:t xml:space="preserve"> </w:t>
                              </w:r>
                            </w:p>
                          </w:tc>
                        </w:tr>
                      </w:tbl>
                      <w:p w:rsidR="002731CA" w:rsidRDefault="002731CA">
                        <w:pPr>
                          <w:rPr>
                            <w:rFonts w:eastAsia="Times New Roman"/>
                            <w:sz w:val="20"/>
                            <w:szCs w:val="20"/>
                          </w:rPr>
                        </w:pPr>
                      </w:p>
                    </w:tc>
                    <w:tc>
                      <w:tcPr>
                        <w:tcW w:w="0" w:type="auto"/>
                        <w:hideMark/>
                      </w:tcPr>
                      <w:tbl>
                        <w:tblPr>
                          <w:tblpPr w:vertAnchor="text" w:tblpXSpec="right" w:tblpYSpec="center"/>
                          <w:tblW w:w="3240" w:type="dxa"/>
                          <w:tblCellSpacing w:w="0" w:type="dxa"/>
                          <w:tblCellMar>
                            <w:left w:w="0" w:type="dxa"/>
                            <w:right w:w="0" w:type="dxa"/>
                          </w:tblCellMar>
                          <w:tblLook w:val="04A0" w:firstRow="1" w:lastRow="0" w:firstColumn="1" w:lastColumn="0" w:noHBand="0" w:noVBand="1"/>
                        </w:tblPr>
                        <w:tblGrid>
                          <w:gridCol w:w="3240"/>
                        </w:tblGrid>
                        <w:tr w:rsidR="002731CA">
                          <w:trPr>
                            <w:tblCellSpacing w:w="0" w:type="dxa"/>
                          </w:trPr>
                          <w:tc>
                            <w:tcPr>
                              <w:tcW w:w="0" w:type="auto"/>
                              <w:tcMar>
                                <w:top w:w="330" w:type="dxa"/>
                                <w:left w:w="330" w:type="dxa"/>
                                <w:bottom w:w="330" w:type="dxa"/>
                                <w:right w:w="330" w:type="dxa"/>
                              </w:tcMar>
                              <w:hideMark/>
                            </w:tcPr>
                            <w:p w:rsidR="002731CA" w:rsidRDefault="002731CA">
                              <w:pPr>
                                <w:pStyle w:val="NormalWeb"/>
                                <w:spacing w:before="0" w:beforeAutospacing="0" w:after="0" w:afterAutospacing="0"/>
                                <w:jc w:val="center"/>
                                <w:rPr>
                                  <w:rFonts w:ascii="Arial" w:hAnsi="Arial" w:cs="Arial"/>
                                  <w:color w:val="15406C"/>
                                  <w:sz w:val="18"/>
                                  <w:szCs w:val="18"/>
                                </w:rPr>
                              </w:pPr>
                              <w:r>
                                <w:rPr>
                                  <w:rFonts w:ascii="Arial" w:hAnsi="Arial" w:cs="Arial"/>
                                  <w:noProof/>
                                  <w:color w:val="3E21FF"/>
                                  <w:sz w:val="18"/>
                                  <w:szCs w:val="18"/>
                                </w:rPr>
                                <w:drawing>
                                  <wp:inline distT="0" distB="0" distL="0" distR="0">
                                    <wp:extent cx="1524000" cy="390525"/>
                                    <wp:effectExtent l="0" t="0" r="0" b="9525"/>
                                    <wp:docPr id="1" name="Image 1" descr="http://img.fhp.fr/66842/X7mHZuI8W02H65DeuRBYfQ/image_0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vABAvvwHwIECvEstDCGBAEuGrrrBur" descr="http://img.fhp.fr/66842/X7mHZuI8W02H65DeuRBYfQ/image_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2731CA" w:rsidRDefault="002731CA">
                        <w:pPr>
                          <w:rPr>
                            <w:rFonts w:eastAsia="Times New Roman"/>
                            <w:sz w:val="20"/>
                            <w:szCs w:val="20"/>
                          </w:rPr>
                        </w:pPr>
                      </w:p>
                    </w:tc>
                  </w:tr>
                </w:tbl>
                <w:p w:rsidR="002731CA" w:rsidRDefault="002731CA">
                  <w:pPr>
                    <w:rPr>
                      <w:rFonts w:eastAsia="Times New Roman"/>
                      <w:sz w:val="20"/>
                      <w:szCs w:val="20"/>
                    </w:rPr>
                  </w:pPr>
                </w:p>
              </w:tc>
            </w:tr>
          </w:tbl>
          <w:p w:rsidR="002731CA" w:rsidRDefault="002731CA">
            <w:pPr>
              <w:jc w:val="center"/>
              <w:rPr>
                <w:rFonts w:eastAsia="Times New Roman"/>
                <w:sz w:val="20"/>
                <w:szCs w:val="20"/>
              </w:rPr>
            </w:pPr>
          </w:p>
        </w:tc>
      </w:tr>
    </w:tbl>
    <w:p w:rsidR="00C7400E" w:rsidRDefault="00C7400E"/>
    <w:sectPr w:rsidR="00C74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5FE8"/>
    <w:multiLevelType w:val="multilevel"/>
    <w:tmpl w:val="4A868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D72D9"/>
    <w:multiLevelType w:val="multilevel"/>
    <w:tmpl w:val="8384C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55F23"/>
    <w:multiLevelType w:val="multilevel"/>
    <w:tmpl w:val="04B63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25C4E"/>
    <w:multiLevelType w:val="multilevel"/>
    <w:tmpl w:val="D8FA9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43756E"/>
    <w:multiLevelType w:val="multilevel"/>
    <w:tmpl w:val="C1E60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D39B5"/>
    <w:multiLevelType w:val="multilevel"/>
    <w:tmpl w:val="18B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D2063"/>
    <w:multiLevelType w:val="multilevel"/>
    <w:tmpl w:val="5030D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2007B"/>
    <w:multiLevelType w:val="multilevel"/>
    <w:tmpl w:val="5D28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80"/>
    <w:rsid w:val="002731CA"/>
    <w:rsid w:val="00732580"/>
    <w:rsid w:val="00C74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CF05D-641D-418C-B0CD-26D1DBA9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1C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731CA"/>
    <w:rPr>
      <w:color w:val="0000FF"/>
      <w:u w:val="single"/>
    </w:rPr>
  </w:style>
  <w:style w:type="paragraph" w:styleId="NormalWeb">
    <w:name w:val="Normal (Web)"/>
    <w:basedOn w:val="Normal"/>
    <w:uiPriority w:val="99"/>
    <w:semiHidden/>
    <w:unhideWhenUsed/>
    <w:rsid w:val="002731CA"/>
    <w:pPr>
      <w:spacing w:before="100" w:beforeAutospacing="1" w:after="100" w:afterAutospacing="1"/>
    </w:pPr>
  </w:style>
  <w:style w:type="character" w:styleId="lev">
    <w:name w:val="Strong"/>
    <w:basedOn w:val="Policepardfaut"/>
    <w:uiPriority w:val="22"/>
    <w:qFormat/>
    <w:rsid w:val="00273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caumes@fhp.fr" TargetMode="External"/><Relationship Id="rId13" Type="http://schemas.openxmlformats.org/officeDocument/2006/relationships/hyperlink" Target="http://link.fhp.fr/c?p=xBAacuT30Ng90INL0IjQti5gXNCseUDEENDZ0KRL0IP50MlxRdCFdfd_dQvzKdlBaHR0cDovL2tvYW1hLmZocC5mci9maWNoaWVycy8yMDE3MTIwNjExMzYyMF9GbGFzaF8yMV9kZWNlbWJyZS5wZGalNjY4NDLEEAcU0IDQkgbi0MFI0L_Qz9Cq0NQ95nDQrqtsaW5rLmZocC5mcsQUDu05Z9Cf0NLQukHQl9C8KB7Qp0k60JAI0N9x-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fhp.fr/c?p=xBAacuT30Ng90INL0IjQti5gXNCseUDEENCbU-zQvdCpL9CJQ9CACNCzBwj50IPu2TpodHRwOi8va29hbWEuZmhwLmZyL2ZpY2hpZXJzLzIwMTcxMjA2MTEzNTE1X2FycmV0ZV9QVUkucGRmpTY2ODQyxBAHFNCA0JIG4tDBSNC_0M_QqtDUPeZw0K6rbGluay5maHAuZnLEFA7tOWfQn9DS0LpB0JfQvCge0KdJOtCQCNDfcfs" TargetMode="External"/><Relationship Id="rId12" Type="http://schemas.openxmlformats.org/officeDocument/2006/relationships/hyperlink" Target="http://link.fhp.fr/c?p=xBAacuT30Ng90INL0IjQti5gXNCseUDEENCT-jNpDiY7QdCD4DzQtT_Q0w3QmNlCaHR0cDovL2tvYW1hLmZocC5mci9maWNoaWVycy8yMDE3MTIwNjExMzQ1MV9GbGFzaF8xM19qdWluXzIwMTcucGRmpTY2ODQyxBAHFNCA0JIG4tDBSNC_0M_QqtDUPeZw0K6rbGluay5maHAuZnLEFA7tOWfQn9DS0LpB0JfQvCge0KdJOtCQCNDfcf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nk.fhp.fr/c?p=xBAacuT30Ng90INL0IjQti5gXNCseUDEEFjQqDICYNCh_ELQtdCJNDBT0Nhk0ITZO2h0dHA6Ly9rb2FtYS5maHAuZnIvQ29udGVudXMvQmFzZURvY0Zvcm0uYXNweD9maWNoaWVyPTE2MTM5pTY2ODQyxBAHFNCA0JIG4tDBSNC_0M_QqtDUPeZw0K6rbGluay5maHAuZnLEFA7tOWfQn9DS0LpB0JfQvCge0KdJOtCQCNDfcfs" TargetMode="External"/><Relationship Id="rId5" Type="http://schemas.openxmlformats.org/officeDocument/2006/relationships/hyperlink" Target="http://link.fhp.fr/m2?r=pTY2ODQyxBAacuT30Ng90INL0IjQti5gXNCseUDEEAcU0IDQkgbi0MFI0L_Qz9Cq0NQ95nDQrrN2cm91c3NldEBmaHAtc3NyLmZyoJXEENDF0KIu0Jt-FNCmRdCB0M_Q0gbQvtCZ0MAMo01tZcQQNeLQiU0w0NHQxkjQnGVJ49CKaPPtp1JPVVNTRVTEENCL0LvQihAMG3RD0KIg0N5c0JZsHtCxqlbDqXJvbmlxdWXEEH8rUhgp0JfQvUzQqNDN0Jb7JtDfUdCvp0ZIUC1TU1LEEEYt0MvQlNDXENCJStC9ddC_A1or_lilMzE2NDk=" TargetMode="External"/><Relationship Id="rId15" Type="http://schemas.openxmlformats.org/officeDocument/2006/relationships/hyperlink" Target="http://link.fhp.fr/c?p=xBAacuT30Ng90INL0IjQti5gXNCseUDEEC1aVjnQsiBAR9C6KvV00IUHbNCjsmh0dHA6Ly93d3cuZmhwLmZyL6U2Njg0MsQQBxTQgNCSBuLQwUjQv9DP0KrQ1D3mcNCuq2xpbmsuZmhwLmZyxBQO7Tln0J_Q0tC6QdCX0LwoHtCnSTrQkAjQ33H7"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link.fhp.fr/c?p=xBAacuT30Ng90INL0IjQti5gXNCseUDEEAPQoQjQhdDBXwJN0IDQyxZFVyMB0JrZS2h0dHBzOi8vd3d3LmxlZ2lmcmFuY2UuZ291di5mci9hZmZpY2hUZXh0ZS5kbz9jaWRUZXh0ZT1KT1JGVEVYVDAwMDAzMDA2OTE5N6U2Njg0MsQQBxTQgNCSBuLQwUjQv9DP0KrQ1D3mcNCuq2xpbmsuZmhwLmZyxBQO7Tln0J_Q0tC6QdCX0LwoHtCnSTrQkAjQ33H7" TargetMode="External"/><Relationship Id="rId14" Type="http://schemas.openxmlformats.org/officeDocument/2006/relationships/hyperlink" Target="http://link.fhp.fr/c?p=xBAacuT30Ng90INL0IjQti5gXNCseUDEEAzQj9DH0JvQvfPQqU7QpwDQ1NCS7TjQhPW8bWFpbHRvOmdyZWdvcnkuY2F1bWVzQGZocC5mcqU2Njg0MsQQBxTQgNCSBuLQwUjQv9DP0KrQ1D3mcNCuq2xpbmsuZmhwLmZyxBQO7Tln0J_Q0tC6QdCX0LwoHtCnSTrQkAjQ33H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6763</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2017-12-14T16:21:00Z</dcterms:created>
  <dcterms:modified xsi:type="dcterms:W3CDTF">2017-12-14T16:22:00Z</dcterms:modified>
</cp:coreProperties>
</file>