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E5673" w:rsidTr="00DE5673">
        <w:trPr>
          <w:tblCellSpacing w:w="0" w:type="dxa"/>
          <w:jc w:val="center"/>
        </w:trPr>
        <w:tc>
          <w:tcPr>
            <w:tcW w:w="0" w:type="auto"/>
            <w:hideMark/>
          </w:tcPr>
          <w:p w:rsidR="00DE5673" w:rsidRDefault="00DE5673">
            <w:pPr>
              <w:rPr>
                <w:rFonts w:eastAsia="Times New Roman"/>
              </w:rPr>
            </w:pPr>
            <w:r>
              <w:rPr>
                <w:rFonts w:eastAsia="Times New Roman"/>
                <w:noProof/>
              </w:rPr>
              <w:drawing>
                <wp:inline distT="0" distB="0" distL="0" distR="0">
                  <wp:extent cx="5715000" cy="1285875"/>
                  <wp:effectExtent l="0" t="0" r="0" b="9525"/>
                  <wp:docPr id="4" name="Image 4" descr="F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85875"/>
                          </a:xfrm>
                          <a:prstGeom prst="rect">
                            <a:avLst/>
                          </a:prstGeom>
                          <a:noFill/>
                          <a:ln>
                            <a:noFill/>
                          </a:ln>
                        </pic:spPr>
                      </pic:pic>
                    </a:graphicData>
                  </a:graphic>
                </wp:inline>
              </w:drawing>
            </w:r>
          </w:p>
        </w:tc>
      </w:tr>
      <w:tr w:rsidR="00DE5673" w:rsidTr="00DE5673">
        <w:trPr>
          <w:tblCellSpacing w:w="0" w:type="dxa"/>
          <w:jc w:val="center"/>
        </w:trPr>
        <w:tc>
          <w:tcPr>
            <w:tcW w:w="0" w:type="auto"/>
            <w:hideMark/>
          </w:tcPr>
          <w:tbl>
            <w:tblPr>
              <w:tblW w:w="9000" w:type="dxa"/>
              <w:tblCellSpacing w:w="0" w:type="dxa"/>
              <w:shd w:val="clear" w:color="auto" w:fill="F8F8F8"/>
              <w:tblCellMar>
                <w:left w:w="0" w:type="dxa"/>
                <w:right w:w="0" w:type="dxa"/>
              </w:tblCellMar>
              <w:tblLook w:val="04A0" w:firstRow="1" w:lastRow="0" w:firstColumn="1" w:lastColumn="0" w:noHBand="0" w:noVBand="1"/>
            </w:tblPr>
            <w:tblGrid>
              <w:gridCol w:w="9000"/>
            </w:tblGrid>
            <w:tr w:rsidR="00DE5673">
              <w:trPr>
                <w:tblCellSpacing w:w="0" w:type="dxa"/>
              </w:trPr>
              <w:tc>
                <w:tcPr>
                  <w:tcW w:w="0" w:type="auto"/>
                  <w:shd w:val="clear" w:color="auto" w:fill="F8F8F8"/>
                  <w:tcMar>
                    <w:top w:w="300" w:type="dxa"/>
                    <w:left w:w="150" w:type="dxa"/>
                    <w:bottom w:w="225" w:type="dxa"/>
                    <w:right w:w="150" w:type="dxa"/>
                  </w:tcMar>
                  <w:vAlign w:val="center"/>
                  <w:hideMark/>
                </w:tcPr>
                <w:p w:rsidR="00DE5673" w:rsidRDefault="00DE5673">
                  <w:pPr>
                    <w:rPr>
                      <w:rFonts w:ascii="Arial" w:eastAsia="Times New Roman" w:hAnsi="Arial" w:cs="Arial"/>
                      <w:color w:val="013E6A"/>
                      <w:sz w:val="18"/>
                      <w:szCs w:val="18"/>
                    </w:rPr>
                  </w:pPr>
                  <w:r>
                    <w:rPr>
                      <w:rStyle w:val="lev"/>
                      <w:rFonts w:ascii="Arial" w:eastAsia="Times New Roman" w:hAnsi="Arial" w:cs="Arial"/>
                      <w:color w:val="013E6A"/>
                      <w:sz w:val="18"/>
                      <w:szCs w:val="18"/>
                    </w:rPr>
                    <w:t>Vendredi 15 janvier 2015</w:t>
                  </w:r>
                  <w:r>
                    <w:rPr>
                      <w:rFonts w:ascii="Arial" w:eastAsia="Times New Roman" w:hAnsi="Arial" w:cs="Arial"/>
                      <w:color w:val="013E6A"/>
                      <w:sz w:val="18"/>
                      <w:szCs w:val="18"/>
                    </w:rPr>
                    <w:t xml:space="preserve"> </w:t>
                  </w:r>
                  <w:r>
                    <w:rPr>
                      <w:rFonts w:ascii="Arial" w:eastAsia="Times New Roman" w:hAnsi="Arial" w:cs="Arial"/>
                      <w:color w:val="013E6A"/>
                      <w:sz w:val="18"/>
                      <w:szCs w:val="18"/>
                    </w:rPr>
                    <w:br/>
                    <w:t xml:space="preserve">Réf. : 021-2016 </w:t>
                  </w:r>
                </w:p>
              </w:tc>
            </w:tr>
            <w:tr w:rsidR="00DE5673">
              <w:trPr>
                <w:tblCellSpacing w:w="0" w:type="dxa"/>
              </w:trPr>
              <w:tc>
                <w:tcPr>
                  <w:tcW w:w="0" w:type="auto"/>
                  <w:shd w:val="clear" w:color="auto" w:fill="F8F8F8"/>
                  <w:tcMar>
                    <w:top w:w="300" w:type="dxa"/>
                    <w:left w:w="150" w:type="dxa"/>
                    <w:bottom w:w="225" w:type="dxa"/>
                    <w:right w:w="150" w:type="dxa"/>
                  </w:tcMar>
                  <w:vAlign w:val="center"/>
                  <w:hideMark/>
                </w:tcPr>
                <w:p w:rsidR="00DE5673" w:rsidRDefault="00DE5673">
                  <w:pPr>
                    <w:rPr>
                      <w:rFonts w:ascii="Arial" w:eastAsia="Times New Roman" w:hAnsi="Arial" w:cs="Arial"/>
                      <w:b/>
                      <w:bCs/>
                      <w:color w:val="5CC9F3"/>
                      <w:sz w:val="21"/>
                      <w:szCs w:val="21"/>
                    </w:rPr>
                  </w:pPr>
                  <w:r>
                    <w:rPr>
                      <w:rFonts w:ascii="Arial" w:eastAsia="Times New Roman" w:hAnsi="Arial" w:cs="Arial"/>
                      <w:b/>
                      <w:bCs/>
                      <w:color w:val="5CC9F3"/>
                      <w:sz w:val="21"/>
                      <w:szCs w:val="21"/>
                    </w:rPr>
                    <w:t xml:space="preserve">Informations juridiques </w:t>
                  </w:r>
                </w:p>
              </w:tc>
            </w:tr>
            <w:tr w:rsidR="00DE5673">
              <w:trPr>
                <w:tblCellSpacing w:w="0" w:type="dxa"/>
              </w:trPr>
              <w:tc>
                <w:tcPr>
                  <w:tcW w:w="0" w:type="auto"/>
                  <w:shd w:val="clear" w:color="auto" w:fill="F8F8F8"/>
                  <w:tcMar>
                    <w:top w:w="300" w:type="dxa"/>
                    <w:left w:w="150" w:type="dxa"/>
                    <w:bottom w:w="225" w:type="dxa"/>
                    <w:right w:w="150" w:type="dxa"/>
                  </w:tcMar>
                  <w:vAlign w:val="center"/>
                  <w:hideMark/>
                </w:tcPr>
                <w:p w:rsidR="00DE5673" w:rsidRDefault="00DE5673">
                  <w:pPr>
                    <w:jc w:val="center"/>
                    <w:rPr>
                      <w:rFonts w:ascii="Arial" w:eastAsia="Times New Roman" w:hAnsi="Arial" w:cs="Arial"/>
                      <w:b/>
                      <w:bCs/>
                      <w:color w:val="013E6A"/>
                      <w:sz w:val="39"/>
                      <w:szCs w:val="39"/>
                    </w:rPr>
                  </w:pPr>
                  <w:r>
                    <w:rPr>
                      <w:rFonts w:ascii="Arial" w:eastAsia="Times New Roman" w:hAnsi="Arial" w:cs="Arial"/>
                      <w:b/>
                      <w:bCs/>
                      <w:color w:val="013E6A"/>
                      <w:sz w:val="39"/>
                      <w:szCs w:val="39"/>
                    </w:rPr>
                    <w:t>Pratiques de facturation inter-établissement des transports SMUR secondaires</w:t>
                  </w:r>
                </w:p>
              </w:tc>
            </w:tr>
            <w:tr w:rsidR="00DE5673">
              <w:trPr>
                <w:tblCellSpacing w:w="0" w:type="dxa"/>
              </w:trPr>
              <w:tc>
                <w:tcPr>
                  <w:tcW w:w="0" w:type="auto"/>
                  <w:shd w:val="clear" w:color="auto" w:fill="F8F8F8"/>
                  <w:tcMar>
                    <w:top w:w="300" w:type="dxa"/>
                    <w:left w:w="150" w:type="dxa"/>
                    <w:bottom w:w="300" w:type="dxa"/>
                    <w:right w:w="150" w:type="dxa"/>
                  </w:tcMar>
                  <w:vAlign w:val="center"/>
                  <w:hideMark/>
                </w:tcPr>
                <w:tbl>
                  <w:tblPr>
                    <w:tblW w:w="0" w:type="auto"/>
                    <w:tblCellSpacing w:w="15" w:type="dxa"/>
                    <w:tblLook w:val="04A0" w:firstRow="1" w:lastRow="0" w:firstColumn="1" w:lastColumn="0" w:noHBand="0" w:noVBand="1"/>
                  </w:tblPr>
                  <w:tblGrid>
                    <w:gridCol w:w="8700"/>
                  </w:tblGrid>
                  <w:tr w:rsidR="00DE5673">
                    <w:trPr>
                      <w:tblCellSpacing w:w="15" w:type="dxa"/>
                    </w:trPr>
                    <w:tc>
                      <w:tcPr>
                        <w:tcW w:w="0" w:type="auto"/>
                        <w:tcMar>
                          <w:top w:w="15" w:type="dxa"/>
                          <w:left w:w="15" w:type="dxa"/>
                          <w:bottom w:w="15" w:type="dxa"/>
                          <w:right w:w="15" w:type="dxa"/>
                        </w:tcMar>
                        <w:vAlign w:val="center"/>
                      </w:tcPr>
                      <w:p w:rsidR="00DE5673" w:rsidRDefault="00DE5673">
                        <w:pPr>
                          <w:jc w:val="both"/>
                          <w:rPr>
                            <w:rStyle w:val="lev"/>
                            <w:color w:val="FF0000"/>
                            <w:sz w:val="20"/>
                            <w:szCs w:val="20"/>
                          </w:rPr>
                        </w:pPr>
                      </w:p>
                      <w:p w:rsidR="00DE5673" w:rsidRDefault="00DE5673">
                        <w:pPr>
                          <w:jc w:val="center"/>
                          <w:rPr>
                            <w:rStyle w:val="lev"/>
                            <w:rFonts w:ascii="Arial" w:eastAsia="Times New Roman" w:hAnsi="Arial" w:cs="Arial"/>
                            <w:color w:val="FF0000"/>
                            <w:sz w:val="20"/>
                            <w:szCs w:val="20"/>
                          </w:rPr>
                        </w:pPr>
                        <w:r>
                          <w:rPr>
                            <w:rStyle w:val="lev"/>
                            <w:rFonts w:ascii="Arial" w:eastAsia="Times New Roman" w:hAnsi="Arial" w:cs="Arial"/>
                            <w:color w:val="FF0000"/>
                            <w:sz w:val="20"/>
                            <w:szCs w:val="20"/>
                          </w:rPr>
                          <w:pict>
                            <v:rect id="_x0000_i1026" style="width:453.6pt;height:1.5pt" o:hralign="center" o:hrstd="t" o:hr="t" fillcolor="#a0a0a0" stroked="f"/>
                          </w:pict>
                        </w:r>
                      </w:p>
                      <w:p w:rsidR="00DE5673" w:rsidRDefault="00DE5673" w:rsidP="00DE5673">
                        <w:pPr>
                          <w:rPr>
                            <w:rStyle w:val="lev"/>
                            <w:rFonts w:ascii="Arial" w:eastAsia="Times New Roman" w:hAnsi="Arial" w:cs="Arial"/>
                            <w:color w:val="436999"/>
                            <w:sz w:val="20"/>
                            <w:szCs w:val="20"/>
                          </w:rPr>
                        </w:pPr>
                        <w:r>
                          <w:rPr>
                            <w:rStyle w:val="lev"/>
                            <w:rFonts w:ascii="Arial" w:eastAsia="Times New Roman" w:hAnsi="Arial" w:cs="Arial"/>
                            <w:color w:val="FF0000"/>
                            <w:sz w:val="20"/>
                            <w:szCs w:val="20"/>
                          </w:rPr>
                          <w:t>L’action de la FHP </w:t>
                        </w:r>
                        <w:proofErr w:type="gramStart"/>
                        <w:r>
                          <w:rPr>
                            <w:rStyle w:val="lev"/>
                            <w:rFonts w:ascii="Arial" w:eastAsia="Times New Roman" w:hAnsi="Arial" w:cs="Arial"/>
                            <w:color w:val="FF0000"/>
                            <w:sz w:val="20"/>
                            <w:szCs w:val="20"/>
                          </w:rPr>
                          <w:t>:</w:t>
                        </w:r>
                        <w:proofErr w:type="gramEnd"/>
                        <w:r>
                          <w:rPr>
                            <w:rFonts w:ascii="Arial" w:eastAsia="Times New Roman" w:hAnsi="Arial" w:cs="Arial"/>
                            <w:color w:val="436999"/>
                            <w:sz w:val="20"/>
                            <w:szCs w:val="20"/>
                          </w:rPr>
                          <w:br/>
                        </w:r>
                        <w:r>
                          <w:rPr>
                            <w:rFonts w:ascii="Arial" w:eastAsia="Times New Roman" w:hAnsi="Arial" w:cs="Arial"/>
                            <w:color w:val="436999"/>
                            <w:sz w:val="20"/>
                            <w:szCs w:val="20"/>
                          </w:rPr>
                          <w:br/>
                          <w:t>La FHP, les syndicats de spécialités et les FHP régionales sont intervenus en amont de ce texte autant en région qu’au niveau national, pour répondre à vos nombreuses demandes sur ce sujet. Cette instruction est issue de nos actions concertées.</w:t>
                        </w:r>
                        <w:r>
                          <w:rPr>
                            <w:rFonts w:ascii="Arial" w:eastAsia="Times New Roman" w:hAnsi="Arial" w:cs="Arial"/>
                            <w:color w:val="436999"/>
                            <w:sz w:val="20"/>
                            <w:szCs w:val="20"/>
                          </w:rPr>
                          <w:br/>
                        </w:r>
                        <w:r>
                          <w:rPr>
                            <w:rFonts w:ascii="Arial" w:eastAsia="Times New Roman" w:hAnsi="Arial" w:cs="Arial"/>
                            <w:color w:val="436999"/>
                            <w:sz w:val="20"/>
                            <w:szCs w:val="20"/>
                          </w:rPr>
                          <w:br/>
                        </w:r>
                        <w:r>
                          <w:rPr>
                            <w:rStyle w:val="lev"/>
                            <w:rFonts w:ascii="Arial" w:eastAsia="Times New Roman" w:hAnsi="Arial" w:cs="Arial"/>
                            <w:color w:val="FF0000"/>
                            <w:sz w:val="20"/>
                            <w:szCs w:val="20"/>
                          </w:rPr>
                          <w:t>A retenir </w:t>
                        </w:r>
                        <w:proofErr w:type="gramStart"/>
                        <w:r>
                          <w:rPr>
                            <w:rStyle w:val="lev"/>
                            <w:rFonts w:ascii="Arial" w:eastAsia="Times New Roman" w:hAnsi="Arial" w:cs="Arial"/>
                            <w:color w:val="FF0000"/>
                            <w:sz w:val="20"/>
                            <w:szCs w:val="20"/>
                          </w:rPr>
                          <w:t>:</w:t>
                        </w:r>
                        <w:proofErr w:type="gramEnd"/>
                        <w:r>
                          <w:rPr>
                            <w:rFonts w:ascii="Arial" w:eastAsia="Times New Roman" w:hAnsi="Arial" w:cs="Arial"/>
                            <w:color w:val="436999"/>
                            <w:sz w:val="20"/>
                            <w:szCs w:val="20"/>
                          </w:rPr>
                          <w:br/>
                        </w:r>
                        <w:r>
                          <w:rPr>
                            <w:rFonts w:ascii="Arial" w:eastAsia="Times New Roman" w:hAnsi="Arial" w:cs="Arial"/>
                            <w:color w:val="436999"/>
                            <w:sz w:val="20"/>
                            <w:szCs w:val="20"/>
                          </w:rPr>
                          <w:br/>
                          <w:t>La FHP, les syndicats de spécialités et les FHP régionales sont intervenus en amont de ce texte autant en région qu’au niveau national, pour répondre à vos nombreuses demandes sur ce sujet. Cette instruction est issue de nos demandes.</w:t>
                        </w:r>
                        <w:r>
                          <w:rPr>
                            <w:rFonts w:ascii="Arial" w:eastAsia="Times New Roman" w:hAnsi="Arial" w:cs="Arial"/>
                            <w:color w:val="436999"/>
                            <w:sz w:val="20"/>
                            <w:szCs w:val="20"/>
                          </w:rPr>
                          <w:br/>
                        </w:r>
                        <w:r>
                          <w:rPr>
                            <w:rFonts w:ascii="Arial" w:eastAsia="Times New Roman" w:hAnsi="Arial" w:cs="Arial"/>
                            <w:color w:val="436999"/>
                            <w:sz w:val="20"/>
                            <w:szCs w:val="20"/>
                          </w:rPr>
                          <w:br/>
                          <w:t>Cette instruction est relative aux pratiques de facturation inter-établissement des transports SMUR secondaires.</w:t>
                        </w:r>
                        <w:r>
                          <w:rPr>
                            <w:rFonts w:ascii="Arial" w:eastAsia="Times New Roman" w:hAnsi="Arial" w:cs="Arial"/>
                            <w:color w:val="436999"/>
                            <w:sz w:val="20"/>
                            <w:szCs w:val="20"/>
                          </w:rPr>
                          <w:br/>
                        </w:r>
                        <w:r>
                          <w:rPr>
                            <w:rFonts w:ascii="Arial" w:eastAsia="Times New Roman" w:hAnsi="Arial" w:cs="Arial"/>
                            <w:color w:val="436999"/>
                            <w:sz w:val="20"/>
                            <w:szCs w:val="20"/>
                          </w:rPr>
                          <w:br/>
                          <w:t xml:space="preserve">Elle comporte d’une part, un rappel utile de la règlementation applicable et d’autre part, l’annonce d’une réforme du financement de l’activité des SMUR. Elle rejoint et complète le guide de prise en charge des frais de transport de patients (diffusé par la circulaire </w:t>
                        </w:r>
                        <w:hyperlink r:id="rId6" w:history="1">
                          <w:r>
                            <w:rPr>
                              <w:rStyle w:val="Lienhypertexte"/>
                              <w:rFonts w:ascii="Arial" w:eastAsia="Times New Roman" w:hAnsi="Arial" w:cs="Arial"/>
                              <w:sz w:val="20"/>
                              <w:szCs w:val="20"/>
                            </w:rPr>
                            <w:t>N°DGOS/R2/DSS/1A/CNAMTS/2013/262</w:t>
                          </w:r>
                        </w:hyperlink>
                        <w:r>
                          <w:rPr>
                            <w:rFonts w:ascii="Arial" w:eastAsia="Times New Roman" w:hAnsi="Arial" w:cs="Arial"/>
                            <w:color w:val="436999"/>
                            <w:sz w:val="20"/>
                            <w:szCs w:val="20"/>
                          </w:rPr>
                          <w:t xml:space="preserve"> du 27 juin 2013).</w:t>
                        </w:r>
                        <w:r>
                          <w:rPr>
                            <w:rFonts w:ascii="Arial" w:eastAsia="Times New Roman" w:hAnsi="Arial" w:cs="Arial"/>
                            <w:color w:val="436999"/>
                            <w:sz w:val="20"/>
                            <w:szCs w:val="20"/>
                          </w:rPr>
                          <w:br/>
                        </w:r>
                        <w:r>
                          <w:rPr>
                            <w:rFonts w:ascii="Arial" w:eastAsia="Times New Roman" w:hAnsi="Arial" w:cs="Arial"/>
                            <w:color w:val="436999"/>
                            <w:sz w:val="20"/>
                            <w:szCs w:val="20"/>
                          </w:rPr>
                          <w:br/>
                        </w:r>
                        <w:r>
                          <w:rPr>
                            <w:rStyle w:val="lev"/>
                            <w:rFonts w:ascii="Arial" w:eastAsia="Times New Roman" w:hAnsi="Arial" w:cs="Arial"/>
                            <w:color w:val="436999"/>
                            <w:sz w:val="20"/>
                            <w:szCs w:val="20"/>
                          </w:rPr>
                          <w:t>En synthèse </w:t>
                        </w:r>
                        <w:proofErr w:type="gramStart"/>
                        <w:r>
                          <w:rPr>
                            <w:rStyle w:val="lev"/>
                            <w:rFonts w:ascii="Arial" w:eastAsia="Times New Roman" w:hAnsi="Arial" w:cs="Arial"/>
                            <w:color w:val="436999"/>
                            <w:sz w:val="20"/>
                            <w:szCs w:val="20"/>
                          </w:rPr>
                          <w:t>:</w:t>
                        </w:r>
                        <w:proofErr w:type="gramEnd"/>
                        <w:r>
                          <w:rPr>
                            <w:rFonts w:ascii="Arial" w:eastAsia="Times New Roman" w:hAnsi="Arial" w:cs="Arial"/>
                            <w:color w:val="436999"/>
                            <w:sz w:val="20"/>
                            <w:szCs w:val="20"/>
                          </w:rPr>
                          <w:br/>
                        </w:r>
                        <w:r>
                          <w:rPr>
                            <w:rFonts w:ascii="Arial" w:eastAsia="Times New Roman" w:hAnsi="Arial" w:cs="Arial"/>
                            <w:color w:val="436999"/>
                            <w:sz w:val="20"/>
                            <w:szCs w:val="20"/>
                          </w:rPr>
                          <w:br/>
                          <w:t>« </w:t>
                        </w:r>
                        <w:r>
                          <w:rPr>
                            <w:rStyle w:val="Accentuation"/>
                            <w:rFonts w:ascii="Arial" w:eastAsia="Times New Roman" w:hAnsi="Arial" w:cs="Arial"/>
                            <w:b/>
                            <w:bCs/>
                            <w:color w:val="436999"/>
                            <w:sz w:val="20"/>
                            <w:szCs w:val="20"/>
                          </w:rPr>
                          <w:t>Toutes</w:t>
                        </w:r>
                        <w:r>
                          <w:rPr>
                            <w:rStyle w:val="Accentuation"/>
                            <w:rFonts w:ascii="Arial" w:eastAsia="Times New Roman" w:hAnsi="Arial" w:cs="Arial"/>
                            <w:color w:val="436999"/>
                            <w:sz w:val="20"/>
                            <w:szCs w:val="20"/>
                          </w:rPr>
                          <w:t xml:space="preserve"> les missions des SMUR énumérées par l’article </w:t>
                        </w:r>
                        <w:hyperlink r:id="rId7" w:history="1">
                          <w:r>
                            <w:rPr>
                              <w:rStyle w:val="Accentuation"/>
                              <w:rFonts w:ascii="Arial" w:eastAsia="Times New Roman" w:hAnsi="Arial" w:cs="Arial"/>
                              <w:color w:val="0000FF"/>
                              <w:sz w:val="20"/>
                              <w:szCs w:val="20"/>
                              <w:u w:val="single"/>
                            </w:rPr>
                            <w:t>R. 6123-15</w:t>
                          </w:r>
                        </w:hyperlink>
                        <w:r>
                          <w:rPr>
                            <w:rStyle w:val="Accentuation"/>
                            <w:rFonts w:ascii="Arial" w:eastAsia="Times New Roman" w:hAnsi="Arial" w:cs="Arial"/>
                            <w:color w:val="436999"/>
                            <w:sz w:val="20"/>
                            <w:szCs w:val="20"/>
                          </w:rPr>
                          <w:t xml:space="preserve"> du code de la santé publique sont réalisées dans le cadre de l’aide médicale urgente</w:t>
                        </w:r>
                        <w:r>
                          <w:rPr>
                            <w:rFonts w:ascii="Arial" w:eastAsia="Times New Roman" w:hAnsi="Arial" w:cs="Arial"/>
                            <w:color w:val="436999"/>
                            <w:sz w:val="20"/>
                            <w:szCs w:val="20"/>
                          </w:rPr>
                          <w:t> », mission de service public.</w:t>
                        </w:r>
                        <w:r>
                          <w:rPr>
                            <w:rFonts w:ascii="Arial" w:eastAsia="Times New Roman" w:hAnsi="Arial" w:cs="Arial"/>
                            <w:color w:val="436999"/>
                            <w:sz w:val="20"/>
                            <w:szCs w:val="20"/>
                          </w:rPr>
                          <w:br/>
                        </w:r>
                        <w:r>
                          <w:rPr>
                            <w:rFonts w:ascii="Arial" w:eastAsia="Times New Roman" w:hAnsi="Arial" w:cs="Arial"/>
                            <w:color w:val="436999"/>
                            <w:sz w:val="20"/>
                            <w:szCs w:val="20"/>
                          </w:rPr>
                          <w:br/>
                          <w:t xml:space="preserve">Le rôle central et déterminant du </w:t>
                        </w:r>
                        <w:r>
                          <w:rPr>
                            <w:rStyle w:val="lev"/>
                            <w:rFonts w:ascii="Arial" w:eastAsia="Times New Roman" w:hAnsi="Arial" w:cs="Arial"/>
                            <w:color w:val="436999"/>
                            <w:sz w:val="20"/>
                            <w:szCs w:val="20"/>
                          </w:rPr>
                          <w:t>médecin régulateur</w:t>
                        </w:r>
                        <w:r>
                          <w:rPr>
                            <w:rFonts w:ascii="Arial" w:eastAsia="Times New Roman" w:hAnsi="Arial" w:cs="Arial"/>
                            <w:color w:val="436999"/>
                            <w:sz w:val="20"/>
                            <w:szCs w:val="20"/>
                          </w:rPr>
                          <w:t xml:space="preserve"> du SAMU dans le cadre de l’aide médicale urgente est souligné.</w:t>
                        </w:r>
                        <w:r>
                          <w:rPr>
                            <w:rFonts w:ascii="Arial" w:eastAsia="Times New Roman" w:hAnsi="Arial" w:cs="Arial"/>
                            <w:color w:val="436999"/>
                            <w:sz w:val="20"/>
                            <w:szCs w:val="20"/>
                          </w:rPr>
                          <w:br/>
                        </w:r>
                        <w:r>
                          <w:rPr>
                            <w:rFonts w:ascii="Arial" w:eastAsia="Times New Roman" w:hAnsi="Arial" w:cs="Arial"/>
                            <w:color w:val="436999"/>
                            <w:sz w:val="20"/>
                            <w:szCs w:val="20"/>
                          </w:rPr>
                          <w:br/>
                          <w:t xml:space="preserve">Les </w:t>
                        </w:r>
                        <w:r>
                          <w:rPr>
                            <w:rStyle w:val="lev"/>
                            <w:rFonts w:ascii="Arial" w:eastAsia="Times New Roman" w:hAnsi="Arial" w:cs="Arial"/>
                            <w:color w:val="436999"/>
                            <w:sz w:val="20"/>
                            <w:szCs w:val="20"/>
                          </w:rPr>
                          <w:t>règles de financement</w:t>
                        </w:r>
                        <w:r>
                          <w:rPr>
                            <w:rFonts w:ascii="Arial" w:eastAsia="Times New Roman" w:hAnsi="Arial" w:cs="Arial"/>
                            <w:color w:val="436999"/>
                            <w:sz w:val="20"/>
                            <w:szCs w:val="20"/>
                          </w:rPr>
                          <w:t xml:space="preserve"> et, le cas échéant, les </w:t>
                        </w:r>
                        <w:r>
                          <w:rPr>
                            <w:rStyle w:val="lev"/>
                            <w:rFonts w:ascii="Arial" w:eastAsia="Times New Roman" w:hAnsi="Arial" w:cs="Arial"/>
                            <w:color w:val="436999"/>
                            <w:sz w:val="20"/>
                            <w:szCs w:val="20"/>
                          </w:rPr>
                          <w:t>modalités de facturation sont réaffirmées</w:t>
                        </w:r>
                        <w:r>
                          <w:rPr>
                            <w:rFonts w:ascii="Arial" w:eastAsia="Times New Roman" w:hAnsi="Arial" w:cs="Arial"/>
                            <w:color w:val="436999"/>
                            <w:sz w:val="20"/>
                            <w:szCs w:val="20"/>
                          </w:rPr>
                          <w:t> </w:t>
                        </w:r>
                        <w:proofErr w:type="gramStart"/>
                        <w:r>
                          <w:rPr>
                            <w:rFonts w:ascii="Arial" w:eastAsia="Times New Roman" w:hAnsi="Arial" w:cs="Arial"/>
                            <w:color w:val="436999"/>
                            <w:sz w:val="20"/>
                            <w:szCs w:val="20"/>
                          </w:rPr>
                          <w:t>:</w:t>
                        </w:r>
                        <w:proofErr w:type="gramEnd"/>
                        <w:r>
                          <w:rPr>
                            <w:rFonts w:ascii="Arial" w:eastAsia="Times New Roman" w:hAnsi="Arial" w:cs="Arial"/>
                            <w:color w:val="436999"/>
                            <w:sz w:val="20"/>
                            <w:szCs w:val="20"/>
                          </w:rPr>
                          <w:br/>
                        </w:r>
                        <w:r>
                          <w:rPr>
                            <w:rFonts w:ascii="Arial" w:eastAsia="Times New Roman" w:hAnsi="Arial" w:cs="Arial"/>
                            <w:color w:val="436999"/>
                            <w:sz w:val="20"/>
                            <w:szCs w:val="20"/>
                          </w:rPr>
                          <w:br/>
                          <w:t>Consigne est enfin donnée aux DG ARS de faire respecter la règlementation rappelée dans l’instruction.</w:t>
                        </w:r>
                        <w:r>
                          <w:rPr>
                            <w:rFonts w:ascii="Arial" w:eastAsia="Times New Roman" w:hAnsi="Arial" w:cs="Arial"/>
                            <w:color w:val="436999"/>
                            <w:sz w:val="20"/>
                            <w:szCs w:val="20"/>
                          </w:rPr>
                          <w:br/>
                        </w:r>
                        <w:r>
                          <w:rPr>
                            <w:rFonts w:ascii="Arial" w:eastAsia="Times New Roman" w:hAnsi="Arial" w:cs="Arial"/>
                            <w:color w:val="436999"/>
                            <w:sz w:val="20"/>
                            <w:szCs w:val="20"/>
                          </w:rPr>
                          <w:br/>
                        </w:r>
                        <w:r>
                          <w:rPr>
                            <w:rFonts w:ascii="Arial" w:eastAsia="Times New Roman" w:hAnsi="Arial" w:cs="Arial"/>
                            <w:color w:val="436999"/>
                            <w:sz w:val="20"/>
                            <w:szCs w:val="20"/>
                          </w:rPr>
                          <w:lastRenderedPageBreak/>
                          <w:t xml:space="preserve">Est annoncé pour courant 2016, l’arrêt total et prochain des pratiques de facturation des transports SMUR inter-établissements, en raison d’une </w:t>
                        </w:r>
                        <w:r>
                          <w:rPr>
                            <w:rStyle w:val="lev"/>
                            <w:rFonts w:ascii="Arial" w:eastAsia="Times New Roman" w:hAnsi="Arial" w:cs="Arial"/>
                            <w:color w:val="436999"/>
                            <w:sz w:val="20"/>
                            <w:szCs w:val="20"/>
                          </w:rPr>
                          <w:t>réforme du financement des SMUR.</w:t>
                        </w:r>
                      </w:p>
                      <w:p w:rsidR="00DE5673" w:rsidRDefault="00DE5673">
                        <w:pPr>
                          <w:jc w:val="center"/>
                          <w:rPr>
                            <w:rStyle w:val="lev"/>
                            <w:rFonts w:ascii="Arial" w:eastAsia="Times New Roman" w:hAnsi="Arial" w:cs="Arial"/>
                            <w:color w:val="436999"/>
                            <w:sz w:val="20"/>
                            <w:szCs w:val="20"/>
                          </w:rPr>
                        </w:pPr>
                        <w:r>
                          <w:rPr>
                            <w:rStyle w:val="lev"/>
                            <w:rFonts w:ascii="Arial" w:eastAsia="Times New Roman" w:hAnsi="Arial" w:cs="Arial"/>
                            <w:color w:val="436999"/>
                            <w:sz w:val="20"/>
                            <w:szCs w:val="20"/>
                          </w:rPr>
                          <w:pict>
                            <v:rect id="_x0000_i1027" style="width:453.6pt;height:1.5pt" o:hralign="center" o:hrstd="t" o:hr="t" fillcolor="#a0a0a0" stroked="f"/>
                          </w:pict>
                        </w:r>
                      </w:p>
                      <w:p w:rsidR="00DE5673" w:rsidRDefault="00DE5673">
                        <w:pPr>
                          <w:pStyle w:val="NormalWeb"/>
                          <w:spacing w:after="240" w:afterAutospacing="0"/>
                          <w:ind w:hanging="360"/>
                        </w:pPr>
                        <w:r>
                          <w:rPr>
                            <w:rFonts w:ascii="Arial" w:hAnsi="Arial" w:cs="Arial"/>
                            <w:b/>
                            <w:bCs/>
                            <w:color w:val="436999"/>
                            <w:sz w:val="20"/>
                            <w:szCs w:val="20"/>
                          </w:rPr>
                          <w:t>-</w:t>
                        </w:r>
                        <w:r>
                          <w:rPr>
                            <w:b/>
                            <w:bCs/>
                            <w:color w:val="436999"/>
                            <w:sz w:val="14"/>
                            <w:szCs w:val="14"/>
                          </w:rPr>
                          <w:t xml:space="preserve">     </w:t>
                        </w:r>
                      </w:p>
                      <w:p w:rsidR="00DE5673" w:rsidRDefault="00DE5673" w:rsidP="00DE5673">
                        <w:pPr>
                          <w:rPr>
                            <w:rFonts w:ascii="Arial" w:eastAsia="Times New Roman" w:hAnsi="Arial" w:cs="Arial"/>
                            <w:color w:val="436999"/>
                            <w:sz w:val="20"/>
                            <w:szCs w:val="20"/>
                          </w:rPr>
                        </w:pPr>
                        <w:r>
                          <w:rPr>
                            <w:rFonts w:ascii="Arial" w:eastAsia="Times New Roman" w:hAnsi="Arial" w:cs="Arial"/>
                            <w:color w:val="436999"/>
                            <w:sz w:val="20"/>
                            <w:szCs w:val="20"/>
                          </w:rPr>
                          <w:t>Cher Adhérent</w:t>
                        </w:r>
                        <w:proofErr w:type="gramStart"/>
                        <w:r>
                          <w:rPr>
                            <w:rFonts w:ascii="Arial" w:eastAsia="Times New Roman" w:hAnsi="Arial" w:cs="Arial"/>
                            <w:color w:val="436999"/>
                            <w:sz w:val="20"/>
                            <w:szCs w:val="20"/>
                          </w:rPr>
                          <w:t>,</w:t>
                        </w:r>
                        <w:proofErr w:type="gramEnd"/>
                        <w:r>
                          <w:rPr>
                            <w:rFonts w:ascii="Arial" w:eastAsia="Times New Roman" w:hAnsi="Arial" w:cs="Arial"/>
                            <w:b/>
                            <w:bCs/>
                            <w:color w:val="436999"/>
                            <w:sz w:val="20"/>
                            <w:szCs w:val="20"/>
                            <w:u w:val="single"/>
                          </w:rPr>
                          <w:br/>
                        </w:r>
                        <w:r>
                          <w:rPr>
                            <w:rFonts w:ascii="Arial" w:eastAsia="Times New Roman" w:hAnsi="Arial" w:cs="Arial"/>
                            <w:color w:val="436999"/>
                            <w:sz w:val="20"/>
                            <w:szCs w:val="20"/>
                          </w:rPr>
                          <w:br/>
                          <w:t>Nous vous prions de trouver en pièce jointe l'</w:t>
                        </w:r>
                        <w:hyperlink r:id="rId8" w:history="1">
                          <w:r>
                            <w:rPr>
                              <w:rStyle w:val="Lienhypertexte"/>
                              <w:rFonts w:ascii="Arial" w:eastAsia="Times New Roman" w:hAnsi="Arial" w:cs="Arial"/>
                              <w:sz w:val="20"/>
                              <w:szCs w:val="20"/>
                            </w:rPr>
                            <w:t>INSTRUCTION N° DGOS/R2/2015/378 du 23 décembre 2015</w:t>
                          </w:r>
                        </w:hyperlink>
                        <w:r>
                          <w:rPr>
                            <w:rFonts w:ascii="Arial" w:eastAsia="Times New Roman" w:hAnsi="Arial" w:cs="Arial"/>
                            <w:color w:val="436999"/>
                            <w:sz w:val="20"/>
                            <w:szCs w:val="20"/>
                          </w:rPr>
                          <w:t xml:space="preserve"> relative aux pratiques de facturation inter-établissement des transports SMUR secondaires.</w:t>
                        </w:r>
                        <w:r>
                          <w:rPr>
                            <w:rFonts w:ascii="Arial" w:eastAsia="Times New Roman" w:hAnsi="Arial" w:cs="Arial"/>
                            <w:color w:val="436999"/>
                            <w:sz w:val="20"/>
                            <w:szCs w:val="20"/>
                          </w:rPr>
                          <w:br/>
                        </w:r>
                        <w:r>
                          <w:rPr>
                            <w:rFonts w:ascii="Arial" w:eastAsia="Times New Roman" w:hAnsi="Arial" w:cs="Arial"/>
                            <w:b/>
                            <w:bCs/>
                            <w:color w:val="436999"/>
                            <w:sz w:val="20"/>
                            <w:szCs w:val="20"/>
                            <w:u w:val="single"/>
                          </w:rPr>
                          <w:br/>
                        </w:r>
                        <w:r>
                          <w:rPr>
                            <w:rStyle w:val="lev"/>
                            <w:rFonts w:ascii="Arial" w:eastAsia="Times New Roman" w:hAnsi="Arial" w:cs="Arial"/>
                            <w:color w:val="436999"/>
                            <w:sz w:val="20"/>
                            <w:szCs w:val="20"/>
                            <w:u w:val="single"/>
                          </w:rPr>
                          <w:t>Ce que prévoit le texte </w:t>
                        </w:r>
                        <w:proofErr w:type="gramStart"/>
                        <w:r>
                          <w:rPr>
                            <w:rStyle w:val="lev"/>
                            <w:rFonts w:ascii="Arial" w:eastAsia="Times New Roman" w:hAnsi="Arial" w:cs="Arial"/>
                            <w:color w:val="436999"/>
                            <w:sz w:val="20"/>
                            <w:szCs w:val="20"/>
                            <w:u w:val="single"/>
                          </w:rPr>
                          <w:t>:</w:t>
                        </w:r>
                        <w:proofErr w:type="gramEnd"/>
                        <w:r>
                          <w:rPr>
                            <w:rFonts w:ascii="Arial" w:eastAsia="Times New Roman" w:hAnsi="Arial" w:cs="Arial"/>
                            <w:b/>
                            <w:bCs/>
                            <w:color w:val="436999"/>
                            <w:sz w:val="20"/>
                            <w:szCs w:val="20"/>
                          </w:rPr>
                          <w:br/>
                        </w:r>
                        <w:r>
                          <w:rPr>
                            <w:rFonts w:ascii="Arial" w:eastAsia="Times New Roman" w:hAnsi="Arial" w:cs="Arial"/>
                            <w:b/>
                            <w:bCs/>
                            <w:color w:val="436999"/>
                            <w:sz w:val="20"/>
                            <w:szCs w:val="20"/>
                          </w:rPr>
                          <w:br/>
                        </w:r>
                        <w:r>
                          <w:rPr>
                            <w:rStyle w:val="lev"/>
                            <w:rFonts w:ascii="Arial" w:eastAsia="Times New Roman" w:hAnsi="Arial" w:cs="Arial"/>
                            <w:color w:val="436999"/>
                            <w:sz w:val="20"/>
                            <w:szCs w:val="20"/>
                          </w:rPr>
                          <w:t xml:space="preserve">Le texte, </w:t>
                        </w:r>
                        <w:r>
                          <w:rPr>
                            <w:rFonts w:ascii="Arial" w:eastAsia="Times New Roman" w:hAnsi="Arial" w:cs="Arial"/>
                            <w:color w:val="436999"/>
                            <w:sz w:val="20"/>
                            <w:szCs w:val="20"/>
                          </w:rPr>
                          <w:t xml:space="preserve">comportant un </w:t>
                        </w:r>
                        <w:r>
                          <w:rPr>
                            <w:rStyle w:val="lev"/>
                            <w:rFonts w:ascii="Arial" w:eastAsia="Times New Roman" w:hAnsi="Arial" w:cs="Arial"/>
                            <w:color w:val="436999"/>
                            <w:sz w:val="20"/>
                            <w:szCs w:val="20"/>
                          </w:rPr>
                          <w:t>rappel de la règlementation</w:t>
                        </w:r>
                        <w:r>
                          <w:rPr>
                            <w:rFonts w:ascii="Arial" w:eastAsia="Times New Roman" w:hAnsi="Arial" w:cs="Arial"/>
                            <w:color w:val="436999"/>
                            <w:sz w:val="20"/>
                            <w:szCs w:val="20"/>
                          </w:rPr>
                          <w:t xml:space="preserve"> et </w:t>
                        </w:r>
                        <w:r>
                          <w:rPr>
                            <w:rStyle w:val="lev"/>
                            <w:rFonts w:ascii="Arial" w:eastAsia="Times New Roman" w:hAnsi="Arial" w:cs="Arial"/>
                            <w:color w:val="436999"/>
                            <w:sz w:val="20"/>
                            <w:szCs w:val="20"/>
                          </w:rPr>
                          <w:t>annonçant une prochaine réforme</w:t>
                        </w:r>
                        <w:r>
                          <w:rPr>
                            <w:rFonts w:ascii="Arial" w:eastAsia="Times New Roman" w:hAnsi="Arial" w:cs="Arial"/>
                            <w:color w:val="436999"/>
                            <w:sz w:val="20"/>
                            <w:szCs w:val="20"/>
                          </w:rPr>
                          <w:t xml:space="preserve"> du financement des SMUR</w:t>
                        </w:r>
                        <w:r>
                          <w:rPr>
                            <w:rStyle w:val="lev"/>
                            <w:rFonts w:ascii="Arial" w:eastAsia="Times New Roman" w:hAnsi="Arial" w:cs="Arial"/>
                            <w:color w:val="436999"/>
                            <w:sz w:val="20"/>
                            <w:szCs w:val="20"/>
                          </w:rPr>
                          <w:t xml:space="preserve">, </w:t>
                        </w:r>
                        <w:r>
                          <w:rPr>
                            <w:rFonts w:ascii="Arial" w:eastAsia="Times New Roman" w:hAnsi="Arial" w:cs="Arial"/>
                            <w:color w:val="436999"/>
                            <w:sz w:val="20"/>
                            <w:szCs w:val="20"/>
                          </w:rPr>
                          <w:t>est constitué de trois parties.</w:t>
                        </w:r>
                        <w:r>
                          <w:rPr>
                            <w:rFonts w:ascii="Arial" w:eastAsia="Times New Roman" w:hAnsi="Arial" w:cs="Arial"/>
                            <w:b/>
                            <w:bCs/>
                            <w:color w:val="0070C0"/>
                            <w:sz w:val="20"/>
                            <w:szCs w:val="20"/>
                          </w:rPr>
                          <w:br/>
                        </w:r>
                        <w:r>
                          <w:rPr>
                            <w:rFonts w:ascii="Arial" w:eastAsia="Times New Roman" w:hAnsi="Arial" w:cs="Arial"/>
                            <w:b/>
                            <w:bCs/>
                            <w:color w:val="0070C0"/>
                            <w:sz w:val="20"/>
                            <w:szCs w:val="20"/>
                          </w:rPr>
                          <w:br/>
                        </w:r>
                        <w:r>
                          <w:rPr>
                            <w:rStyle w:val="lev"/>
                            <w:rFonts w:ascii="Arial" w:eastAsia="Times New Roman" w:hAnsi="Arial" w:cs="Arial"/>
                            <w:color w:val="0070C0"/>
                            <w:sz w:val="20"/>
                            <w:szCs w:val="20"/>
                          </w:rPr>
                          <w:t>Une partie Préalable, sur la « Règlementation relative aux missions des SMUR (structure mobile d’urgence et de réanimation) et des SAMU (service d’aide médicale urgente) »</w:t>
                        </w:r>
                        <w:r>
                          <w:rPr>
                            <w:rFonts w:ascii="Arial" w:eastAsia="Times New Roman" w:hAnsi="Arial" w:cs="Arial"/>
                            <w:color w:val="436999"/>
                            <w:sz w:val="20"/>
                            <w:szCs w:val="20"/>
                          </w:rPr>
                          <w:br/>
                        </w:r>
                        <w:r>
                          <w:rPr>
                            <w:rFonts w:ascii="Arial" w:eastAsia="Times New Roman" w:hAnsi="Arial" w:cs="Arial"/>
                            <w:color w:val="436999"/>
                            <w:sz w:val="20"/>
                            <w:szCs w:val="20"/>
                          </w:rPr>
                          <w:br/>
                          <w:t>Il y est clairement indiqué que</w:t>
                        </w:r>
                        <w:r>
                          <w:rPr>
                            <w:rStyle w:val="lev"/>
                            <w:rFonts w:ascii="Arial" w:eastAsia="Times New Roman" w:hAnsi="Arial" w:cs="Arial"/>
                            <w:color w:val="436999"/>
                            <w:sz w:val="20"/>
                            <w:szCs w:val="20"/>
                          </w:rPr>
                          <w:t xml:space="preserve"> « Toutes les</w:t>
                        </w:r>
                        <w:r>
                          <w:rPr>
                            <w:rFonts w:ascii="Arial" w:eastAsia="Times New Roman" w:hAnsi="Arial" w:cs="Arial"/>
                            <w:color w:val="436999"/>
                            <w:sz w:val="20"/>
                            <w:szCs w:val="20"/>
                          </w:rPr>
                          <w:t xml:space="preserve"> </w:t>
                        </w:r>
                        <w:r>
                          <w:rPr>
                            <w:rStyle w:val="lev"/>
                            <w:rFonts w:ascii="Arial" w:eastAsia="Times New Roman" w:hAnsi="Arial" w:cs="Arial"/>
                            <w:color w:val="436999"/>
                            <w:sz w:val="20"/>
                            <w:szCs w:val="20"/>
                          </w:rPr>
                          <w:t>missions du SMUR</w:t>
                        </w:r>
                        <w:r>
                          <w:rPr>
                            <w:rFonts w:ascii="Arial" w:eastAsia="Times New Roman" w:hAnsi="Arial" w:cs="Arial"/>
                            <w:color w:val="436999"/>
                            <w:sz w:val="20"/>
                            <w:szCs w:val="20"/>
                          </w:rPr>
                          <w:t xml:space="preserve"> énumérées par l’article </w:t>
                        </w:r>
                        <w:hyperlink r:id="rId9" w:history="1">
                          <w:r>
                            <w:rPr>
                              <w:rStyle w:val="Lienhypertexte"/>
                              <w:rFonts w:ascii="Arial" w:eastAsia="Times New Roman" w:hAnsi="Arial" w:cs="Arial"/>
                              <w:sz w:val="20"/>
                              <w:szCs w:val="20"/>
                              <w:u w:val="none"/>
                            </w:rPr>
                            <w:t>R. 6123-15</w:t>
                          </w:r>
                        </w:hyperlink>
                        <w:r>
                          <w:rPr>
                            <w:rFonts w:ascii="Arial" w:eastAsia="Times New Roman" w:hAnsi="Arial" w:cs="Arial"/>
                            <w:color w:val="436999"/>
                            <w:sz w:val="20"/>
                            <w:szCs w:val="20"/>
                          </w:rPr>
                          <w:t xml:space="preserve"> du code de la santé publique, sont réalisées « dans le cadre de l’aide médicale urgente » » (AMU), qui est une </w:t>
                        </w:r>
                        <w:r>
                          <w:rPr>
                            <w:rStyle w:val="lev"/>
                            <w:rFonts w:ascii="Arial" w:eastAsia="Times New Roman" w:hAnsi="Arial" w:cs="Arial"/>
                            <w:color w:val="436999"/>
                            <w:sz w:val="20"/>
                            <w:szCs w:val="20"/>
                          </w:rPr>
                          <w:t xml:space="preserve">mission de service public </w:t>
                        </w:r>
                        <w:r>
                          <w:rPr>
                            <w:rFonts w:ascii="Arial" w:eastAsia="Times New Roman" w:hAnsi="Arial" w:cs="Arial"/>
                            <w:color w:val="436999"/>
                            <w:sz w:val="20"/>
                            <w:szCs w:val="20"/>
                          </w:rPr>
                          <w:t>(</w:t>
                        </w:r>
                        <w:hyperlink r:id="rId10" w:history="1">
                          <w:r>
                            <w:rPr>
                              <w:rStyle w:val="Lienhypertexte"/>
                              <w:rFonts w:ascii="Arial" w:eastAsia="Times New Roman" w:hAnsi="Arial" w:cs="Arial"/>
                              <w:sz w:val="20"/>
                              <w:szCs w:val="20"/>
                            </w:rPr>
                            <w:t>article L. 6112-1</w:t>
                          </w:r>
                        </w:hyperlink>
                        <w:r>
                          <w:rPr>
                            <w:rFonts w:ascii="Arial" w:eastAsia="Times New Roman" w:hAnsi="Arial" w:cs="Arial"/>
                            <w:color w:val="436999"/>
                            <w:sz w:val="20"/>
                            <w:szCs w:val="20"/>
                          </w:rPr>
                          <w:t xml:space="preserve"> 8° du CSP).</w:t>
                        </w:r>
                        <w:r>
                          <w:rPr>
                            <w:rFonts w:ascii="Arial" w:eastAsia="Times New Roman" w:hAnsi="Arial" w:cs="Arial"/>
                            <w:color w:val="436999"/>
                            <w:sz w:val="20"/>
                            <w:szCs w:val="20"/>
                          </w:rPr>
                          <w:br/>
                        </w:r>
                        <w:r>
                          <w:rPr>
                            <w:rFonts w:ascii="Arial" w:eastAsia="Times New Roman" w:hAnsi="Arial" w:cs="Arial"/>
                            <w:color w:val="436999"/>
                            <w:sz w:val="20"/>
                            <w:szCs w:val="20"/>
                          </w:rPr>
                          <w:br/>
                          <w:t xml:space="preserve">La </w:t>
                        </w:r>
                        <w:r>
                          <w:rPr>
                            <w:rStyle w:val="lev"/>
                            <w:rFonts w:ascii="Arial" w:eastAsia="Times New Roman" w:hAnsi="Arial" w:cs="Arial"/>
                            <w:color w:val="436999"/>
                            <w:sz w:val="20"/>
                            <w:szCs w:val="20"/>
                          </w:rPr>
                          <w:t>mission du SAMU</w:t>
                        </w:r>
                        <w:r>
                          <w:rPr>
                            <w:rFonts w:ascii="Arial" w:eastAsia="Times New Roman" w:hAnsi="Arial" w:cs="Arial"/>
                            <w:color w:val="436999"/>
                            <w:sz w:val="20"/>
                            <w:szCs w:val="20"/>
                          </w:rPr>
                          <w:t xml:space="preserve"> « dans le cadre de l’aide médicale urgente » y est reprise (article </w:t>
                        </w:r>
                        <w:hyperlink r:id="rId11" w:history="1">
                          <w:r>
                            <w:rPr>
                              <w:rStyle w:val="Lienhypertexte"/>
                              <w:rFonts w:ascii="Arial" w:eastAsia="Times New Roman" w:hAnsi="Arial" w:cs="Arial"/>
                              <w:sz w:val="20"/>
                              <w:szCs w:val="20"/>
                            </w:rPr>
                            <w:t>R. 6311-2</w:t>
                          </w:r>
                        </w:hyperlink>
                        <w:r>
                          <w:rPr>
                            <w:rFonts w:ascii="Arial" w:eastAsia="Times New Roman" w:hAnsi="Arial" w:cs="Arial"/>
                            <w:color w:val="436999"/>
                            <w:sz w:val="20"/>
                            <w:szCs w:val="20"/>
                          </w:rPr>
                          <w:t xml:space="preserve"> du code de la santé publique).</w:t>
                        </w:r>
                        <w:r>
                          <w:rPr>
                            <w:rFonts w:ascii="Arial" w:eastAsia="Times New Roman" w:hAnsi="Arial" w:cs="Arial"/>
                            <w:color w:val="436999"/>
                            <w:sz w:val="20"/>
                            <w:szCs w:val="20"/>
                          </w:rPr>
                          <w:br/>
                        </w:r>
                        <w:r>
                          <w:rPr>
                            <w:rFonts w:ascii="Arial" w:eastAsia="Times New Roman" w:hAnsi="Arial" w:cs="Arial"/>
                            <w:color w:val="436999"/>
                            <w:sz w:val="20"/>
                            <w:szCs w:val="20"/>
                          </w:rPr>
                          <w:br/>
                          <w:t xml:space="preserve">Le </w:t>
                        </w:r>
                        <w:r>
                          <w:rPr>
                            <w:rStyle w:val="lev"/>
                            <w:rFonts w:ascii="Arial" w:eastAsia="Times New Roman" w:hAnsi="Arial" w:cs="Arial"/>
                            <w:color w:val="436999"/>
                            <w:sz w:val="20"/>
                            <w:szCs w:val="20"/>
                          </w:rPr>
                          <w:t>rôle central et déterminant du médecin régulateur du SAMU</w:t>
                        </w:r>
                        <w:r>
                          <w:rPr>
                            <w:rFonts w:ascii="Arial" w:eastAsia="Times New Roman" w:hAnsi="Arial" w:cs="Arial"/>
                            <w:color w:val="436999"/>
                            <w:sz w:val="20"/>
                            <w:szCs w:val="20"/>
                          </w:rPr>
                          <w:t xml:space="preserve"> dans le cadre de l’aide médicale urgente, </w:t>
                        </w:r>
                        <w:r>
                          <w:rPr>
                            <w:rStyle w:val="lev"/>
                            <w:rFonts w:ascii="Arial" w:eastAsia="Times New Roman" w:hAnsi="Arial" w:cs="Arial"/>
                            <w:color w:val="436999"/>
                            <w:sz w:val="20"/>
                            <w:szCs w:val="20"/>
                          </w:rPr>
                          <w:t>est souligné</w:t>
                        </w:r>
                        <w:r>
                          <w:rPr>
                            <w:rFonts w:ascii="Arial" w:eastAsia="Times New Roman" w:hAnsi="Arial" w:cs="Arial"/>
                            <w:color w:val="436999"/>
                            <w:sz w:val="20"/>
                            <w:szCs w:val="20"/>
                          </w:rPr>
                          <w:t xml:space="preserve"> ; celui-ci étant en charge notamment : </w:t>
                        </w:r>
                      </w:p>
                      <w:p w:rsidR="00DE5673" w:rsidRDefault="00DE5673">
                        <w:pPr>
                          <w:pStyle w:val="NormalWeb"/>
                          <w:spacing w:before="0" w:beforeAutospacing="0" w:after="0" w:afterAutospacing="0"/>
                          <w:ind w:left="425" w:right="425"/>
                          <w:jc w:val="both"/>
                          <w:rPr>
                            <w:rFonts w:ascii="Arial" w:hAnsi="Arial" w:cs="Arial"/>
                            <w:color w:val="436999"/>
                            <w:sz w:val="20"/>
                            <w:szCs w:val="20"/>
                          </w:rPr>
                        </w:pPr>
                        <w:r>
                          <w:rPr>
                            <w:rStyle w:val="Accentuation"/>
                            <w:rFonts w:ascii="Arial" w:hAnsi="Arial" w:cs="Arial"/>
                            <w:color w:val="000000"/>
                            <w:sz w:val="20"/>
                            <w:szCs w:val="20"/>
                          </w:rPr>
                          <w:t>« D’évaluer médicalement le degré de gravité avéré ou supposé du patient concerné par l’appel quel que soit le lieu où se trouve ce dernier ; et en conséquence, quel que soit le lieu où se trouve le patient concerné par l’appel :</w:t>
                        </w:r>
                      </w:p>
                      <w:p w:rsidR="00DE5673" w:rsidRDefault="00DE5673">
                        <w:pPr>
                          <w:pStyle w:val="NormalWeb"/>
                          <w:spacing w:before="0" w:beforeAutospacing="0" w:after="0" w:afterAutospacing="0"/>
                          <w:ind w:left="425" w:right="425"/>
                          <w:jc w:val="both"/>
                          <w:rPr>
                            <w:rFonts w:ascii="Arial" w:hAnsi="Arial" w:cs="Arial"/>
                            <w:color w:val="436999"/>
                            <w:sz w:val="20"/>
                            <w:szCs w:val="20"/>
                          </w:rPr>
                        </w:pPr>
                        <w:r>
                          <w:rPr>
                            <w:rStyle w:val="Accentuation"/>
                            <w:rFonts w:ascii="Arial" w:hAnsi="Arial" w:cs="Arial"/>
                            <w:color w:val="000000"/>
                            <w:sz w:val="20"/>
                            <w:szCs w:val="20"/>
                          </w:rPr>
                          <w:t>- de déterminer médicalement, en lien avec les professionnels de santé concernés, la nécessité ou non de déclencher la mobilisation d’une équipe d’intervention SMUR ;</w:t>
                        </w:r>
                      </w:p>
                      <w:p w:rsidR="00DE5673" w:rsidRDefault="00DE5673">
                        <w:pPr>
                          <w:pStyle w:val="NormalWeb"/>
                          <w:spacing w:before="0" w:beforeAutospacing="0" w:after="0" w:afterAutospacing="0"/>
                          <w:ind w:left="425" w:right="425"/>
                          <w:jc w:val="both"/>
                          <w:rPr>
                            <w:rFonts w:ascii="Arial" w:hAnsi="Arial" w:cs="Arial"/>
                            <w:color w:val="436999"/>
                            <w:sz w:val="20"/>
                            <w:szCs w:val="20"/>
                          </w:rPr>
                        </w:pPr>
                        <w:r>
                          <w:rPr>
                            <w:rStyle w:val="Accentuation"/>
                            <w:rFonts w:ascii="Arial" w:hAnsi="Arial" w:cs="Arial"/>
                            <w:color w:val="000000"/>
                            <w:sz w:val="20"/>
                            <w:szCs w:val="20"/>
                          </w:rPr>
                          <w:t>- le cas échéant, de déterminer médicalement, en lien avec les professionnels de santé concernés, si le patient pris en charge par l’équipe d’intervention SMUR mobilisée nécessite ou non d’être transporté vers un établissement de santé adapté à son état ;</w:t>
                        </w:r>
                      </w:p>
                      <w:p w:rsidR="00DE5673" w:rsidRDefault="00DE5673">
                        <w:pPr>
                          <w:pStyle w:val="NormalWeb"/>
                          <w:spacing w:before="0" w:beforeAutospacing="0" w:after="0" w:afterAutospacing="0"/>
                          <w:ind w:left="425" w:right="425"/>
                          <w:jc w:val="both"/>
                          <w:rPr>
                            <w:rFonts w:ascii="Arial" w:hAnsi="Arial" w:cs="Arial"/>
                            <w:color w:val="436999"/>
                            <w:sz w:val="20"/>
                            <w:szCs w:val="20"/>
                          </w:rPr>
                        </w:pPr>
                        <w:r>
                          <w:rPr>
                            <w:rStyle w:val="Accentuation"/>
                            <w:rFonts w:ascii="Arial" w:hAnsi="Arial" w:cs="Arial"/>
                            <w:color w:val="000000"/>
                            <w:sz w:val="20"/>
                            <w:szCs w:val="20"/>
                          </w:rPr>
                          <w:t>- le cas échéant, de déterminer médicalement si le transport du patient par l’équipe d’intervention SMUR mobilisée constitue ou non le moyen le plus adapté pour transporter le patient vers l’établissement de santé adapté à son état. »</w:t>
                        </w:r>
                      </w:p>
                      <w:p w:rsidR="00DE5673" w:rsidRDefault="00DE5673">
                        <w:pPr>
                          <w:rPr>
                            <w:rFonts w:ascii="Arial" w:eastAsia="Times New Roman" w:hAnsi="Arial" w:cs="Arial"/>
                            <w:color w:val="436999"/>
                            <w:sz w:val="20"/>
                            <w:szCs w:val="20"/>
                          </w:rPr>
                        </w:pPr>
                      </w:p>
                      <w:p w:rsidR="00DE5673" w:rsidRDefault="00DE5673" w:rsidP="00DE5673">
                        <w:pPr>
                          <w:rPr>
                            <w:rFonts w:ascii="Arial" w:eastAsia="Times New Roman" w:hAnsi="Arial" w:cs="Arial"/>
                            <w:color w:val="436999"/>
                            <w:sz w:val="20"/>
                            <w:szCs w:val="20"/>
                          </w:rPr>
                        </w:pPr>
                        <w:r>
                          <w:rPr>
                            <w:rFonts w:ascii="Arial" w:eastAsia="Times New Roman" w:hAnsi="Arial" w:cs="Arial"/>
                            <w:color w:val="436999"/>
                            <w:sz w:val="20"/>
                            <w:szCs w:val="20"/>
                          </w:rPr>
                          <w:br/>
                        </w:r>
                        <w:r>
                          <w:rPr>
                            <w:rStyle w:val="lev"/>
                            <w:rFonts w:ascii="Arial" w:eastAsia="Times New Roman" w:hAnsi="Arial" w:cs="Arial"/>
                            <w:color w:val="0070C0"/>
                            <w:sz w:val="20"/>
                            <w:szCs w:val="20"/>
                          </w:rPr>
                          <w:t xml:space="preserve">Une partie sur les « Pratiques de </w:t>
                        </w:r>
                        <w:bookmarkStart w:id="0" w:name="_GoBack"/>
                        <w:bookmarkEnd w:id="0"/>
                        <w:r>
                          <w:rPr>
                            <w:rStyle w:val="lev"/>
                            <w:rFonts w:ascii="Arial" w:eastAsia="Times New Roman" w:hAnsi="Arial" w:cs="Arial"/>
                            <w:color w:val="0070C0"/>
                            <w:sz w:val="20"/>
                            <w:szCs w:val="20"/>
                          </w:rPr>
                          <w:t>facturation des transports SMUR secondaires : travaux en cours et perspectives d’évolution </w:t>
                        </w:r>
                        <w:r>
                          <w:rPr>
                            <w:rStyle w:val="lev"/>
                            <w:rFonts w:ascii="Arial" w:eastAsia="Times New Roman" w:hAnsi="Arial" w:cs="Arial"/>
                            <w:color w:val="436999"/>
                            <w:sz w:val="20"/>
                            <w:szCs w:val="20"/>
                          </w:rPr>
                          <w:t>»</w:t>
                        </w:r>
                        <w:r>
                          <w:rPr>
                            <w:rFonts w:ascii="Arial" w:eastAsia="Times New Roman" w:hAnsi="Arial" w:cs="Arial"/>
                            <w:color w:val="436999"/>
                            <w:sz w:val="20"/>
                            <w:szCs w:val="20"/>
                          </w:rPr>
                          <w:br/>
                        </w:r>
                        <w:r>
                          <w:rPr>
                            <w:rFonts w:ascii="Arial" w:eastAsia="Times New Roman" w:hAnsi="Arial" w:cs="Arial"/>
                            <w:color w:val="436999"/>
                            <w:sz w:val="20"/>
                            <w:szCs w:val="20"/>
                          </w:rPr>
                          <w:br/>
                          <w:t xml:space="preserve">Une </w:t>
                        </w:r>
                        <w:r>
                          <w:rPr>
                            <w:rStyle w:val="lev"/>
                            <w:rFonts w:ascii="Arial" w:eastAsia="Times New Roman" w:hAnsi="Arial" w:cs="Arial"/>
                            <w:color w:val="436999"/>
                            <w:sz w:val="20"/>
                            <w:szCs w:val="20"/>
                          </w:rPr>
                          <w:t>simplification</w:t>
                        </w:r>
                        <w:r>
                          <w:rPr>
                            <w:rFonts w:ascii="Arial" w:eastAsia="Times New Roman" w:hAnsi="Arial" w:cs="Arial"/>
                            <w:color w:val="436999"/>
                            <w:sz w:val="20"/>
                            <w:szCs w:val="20"/>
                          </w:rPr>
                          <w:t xml:space="preserve"> du financement des SMUR étant justifiée, une réforme est </w:t>
                        </w:r>
                        <w:r>
                          <w:rPr>
                            <w:rStyle w:val="lev"/>
                            <w:rFonts w:ascii="Arial" w:eastAsia="Times New Roman" w:hAnsi="Arial" w:cs="Arial"/>
                            <w:color w:val="436999"/>
                            <w:sz w:val="20"/>
                            <w:szCs w:val="20"/>
                          </w:rPr>
                          <w:t>annoncée</w:t>
                        </w:r>
                        <w:r>
                          <w:rPr>
                            <w:rFonts w:ascii="Arial" w:eastAsia="Times New Roman" w:hAnsi="Arial" w:cs="Arial"/>
                            <w:color w:val="436999"/>
                            <w:sz w:val="20"/>
                            <w:szCs w:val="20"/>
                          </w:rPr>
                          <w:t xml:space="preserve"> courant 2016, avec un financement intégral envisagé par subvention MIG.</w:t>
                        </w:r>
                        <w:r>
                          <w:rPr>
                            <w:rFonts w:ascii="Arial" w:eastAsia="Times New Roman" w:hAnsi="Arial" w:cs="Arial"/>
                            <w:color w:val="436999"/>
                            <w:sz w:val="20"/>
                            <w:szCs w:val="20"/>
                          </w:rPr>
                          <w:br/>
                        </w:r>
                        <w:r>
                          <w:rPr>
                            <w:rFonts w:ascii="Arial" w:eastAsia="Times New Roman" w:hAnsi="Arial" w:cs="Arial"/>
                            <w:color w:val="436999"/>
                            <w:sz w:val="20"/>
                            <w:szCs w:val="20"/>
                          </w:rPr>
                          <w:br/>
                          <w:t>Il en découlerait l’arrêt total des pratiques de facturation des transports SMUR inter-établissements.</w:t>
                        </w:r>
                        <w:r>
                          <w:rPr>
                            <w:rFonts w:ascii="Arial" w:eastAsia="Times New Roman" w:hAnsi="Arial" w:cs="Arial"/>
                            <w:color w:val="436999"/>
                            <w:sz w:val="20"/>
                            <w:szCs w:val="20"/>
                          </w:rPr>
                          <w:br/>
                        </w:r>
                        <w:r>
                          <w:rPr>
                            <w:rFonts w:ascii="Arial" w:eastAsia="Times New Roman" w:hAnsi="Arial" w:cs="Arial"/>
                            <w:color w:val="436999"/>
                            <w:sz w:val="20"/>
                            <w:szCs w:val="20"/>
                          </w:rPr>
                          <w:br/>
                          <w:t>Un coup d’arrêt serait également porté à la multiplication des litiges et contentieux liés à ces pratiques de facturation de transports inter-établissements définitifs, sans préjuger du résultat des procédures en cours devant plusieurs juridictions administratives.</w:t>
                        </w:r>
                        <w:r>
                          <w:rPr>
                            <w:rFonts w:ascii="Arial" w:eastAsia="Times New Roman" w:hAnsi="Arial" w:cs="Arial"/>
                            <w:color w:val="436999"/>
                            <w:sz w:val="20"/>
                            <w:szCs w:val="20"/>
                          </w:rPr>
                          <w:br/>
                        </w:r>
                        <w:r>
                          <w:rPr>
                            <w:rFonts w:ascii="Arial" w:eastAsia="Times New Roman" w:hAnsi="Arial" w:cs="Arial"/>
                            <w:color w:val="436999"/>
                            <w:sz w:val="20"/>
                            <w:szCs w:val="20"/>
                          </w:rPr>
                          <w:br/>
                          <w:t>En attendant la mise en œuvre de cette réforme, les textes actuellement en vigueur restent applicables.</w:t>
                        </w:r>
                        <w:r>
                          <w:rPr>
                            <w:rFonts w:ascii="Arial" w:eastAsia="Times New Roman" w:hAnsi="Arial" w:cs="Arial"/>
                            <w:color w:val="436999"/>
                            <w:sz w:val="20"/>
                            <w:szCs w:val="20"/>
                          </w:rPr>
                          <w:br/>
                        </w:r>
                        <w:r>
                          <w:rPr>
                            <w:rFonts w:ascii="Arial" w:eastAsia="Times New Roman" w:hAnsi="Arial" w:cs="Arial"/>
                            <w:color w:val="436999"/>
                            <w:sz w:val="20"/>
                            <w:szCs w:val="20"/>
                          </w:rPr>
                          <w:lastRenderedPageBreak/>
                          <w:br/>
                        </w:r>
                        <w:r>
                          <w:rPr>
                            <w:rStyle w:val="lev"/>
                            <w:rFonts w:ascii="Arial" w:eastAsia="Times New Roman" w:hAnsi="Arial" w:cs="Arial"/>
                            <w:color w:val="0070C0"/>
                            <w:sz w:val="20"/>
                            <w:szCs w:val="20"/>
                          </w:rPr>
                          <w:t>Une dernière partie sur les « Textes en vigueur applicables aux pratiques actuelles de facturation des transports SMUR secondaires »</w:t>
                        </w:r>
                        <w:r>
                          <w:rPr>
                            <w:rFonts w:ascii="Arial" w:eastAsia="Times New Roman" w:hAnsi="Arial" w:cs="Arial"/>
                            <w:color w:val="436999"/>
                            <w:sz w:val="20"/>
                            <w:szCs w:val="20"/>
                          </w:rPr>
                          <w:br/>
                        </w:r>
                        <w:r>
                          <w:rPr>
                            <w:rFonts w:ascii="Arial" w:eastAsia="Times New Roman" w:hAnsi="Arial" w:cs="Arial"/>
                            <w:color w:val="436999"/>
                            <w:sz w:val="20"/>
                            <w:szCs w:val="20"/>
                          </w:rPr>
                          <w:br/>
                          <w:t xml:space="preserve">Selon l’instruction du 23 décembre 2015, il s’agit </w:t>
                        </w:r>
                        <w:r>
                          <w:rPr>
                            <w:rStyle w:val="lev"/>
                            <w:rFonts w:ascii="Arial" w:eastAsia="Times New Roman" w:hAnsi="Arial" w:cs="Arial"/>
                            <w:color w:val="436999"/>
                            <w:sz w:val="20"/>
                            <w:szCs w:val="20"/>
                          </w:rPr>
                          <w:t xml:space="preserve">conjointement </w:t>
                        </w:r>
                        <w:r>
                          <w:rPr>
                            <w:rFonts w:ascii="Arial" w:eastAsia="Times New Roman" w:hAnsi="Arial" w:cs="Arial"/>
                            <w:color w:val="436999"/>
                            <w:sz w:val="20"/>
                            <w:szCs w:val="20"/>
                          </w:rPr>
                          <w:t>de deux circulaires :</w:t>
                        </w:r>
                      </w:p>
                      <w:p w:rsidR="00DE5673" w:rsidRDefault="00DE5673">
                        <w:pPr>
                          <w:numPr>
                            <w:ilvl w:val="0"/>
                            <w:numId w:val="1"/>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 xml:space="preserve">La </w:t>
                        </w:r>
                        <w:hyperlink r:id="rId12" w:history="1">
                          <w:r>
                            <w:rPr>
                              <w:rStyle w:val="Lienhypertexte"/>
                              <w:rFonts w:ascii="Arial" w:eastAsia="Times New Roman" w:hAnsi="Arial" w:cs="Arial"/>
                              <w:sz w:val="20"/>
                              <w:szCs w:val="20"/>
                            </w:rPr>
                            <w:t xml:space="preserve">circulaire </w:t>
                          </w:r>
                          <w:proofErr w:type="spellStart"/>
                          <w:r>
                            <w:rPr>
                              <w:rStyle w:val="Lienhypertexte"/>
                              <w:rFonts w:ascii="Arial" w:eastAsia="Times New Roman" w:hAnsi="Arial" w:cs="Arial"/>
                              <w:sz w:val="20"/>
                              <w:szCs w:val="20"/>
                            </w:rPr>
                            <w:t>n°DGOS</w:t>
                          </w:r>
                          <w:proofErr w:type="spellEnd"/>
                          <w:r>
                            <w:rPr>
                              <w:rStyle w:val="Lienhypertexte"/>
                              <w:rFonts w:ascii="Arial" w:eastAsia="Times New Roman" w:hAnsi="Arial" w:cs="Arial"/>
                              <w:sz w:val="20"/>
                              <w:szCs w:val="20"/>
                            </w:rPr>
                            <w:t>/R5/2013/57 du 19 février 2013</w:t>
                          </w:r>
                        </w:hyperlink>
                        <w:r>
                          <w:rPr>
                            <w:rFonts w:ascii="Arial" w:eastAsia="Times New Roman" w:hAnsi="Arial" w:cs="Arial"/>
                            <w:color w:val="436999"/>
                            <w:sz w:val="20"/>
                            <w:szCs w:val="20"/>
                          </w:rPr>
                          <w:t xml:space="preserve"> relative au guide de contractualisation des dotations finançant les missions d’intérêt général (MIG) de 2013</w:t>
                        </w:r>
                      </w:p>
                      <w:p w:rsidR="00DE5673" w:rsidRDefault="00DE5673">
                        <w:pPr>
                          <w:numPr>
                            <w:ilvl w:val="0"/>
                            <w:numId w:val="2"/>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 xml:space="preserve">Et la circulaire n° </w:t>
                        </w:r>
                        <w:hyperlink r:id="rId13" w:history="1">
                          <w:r>
                            <w:rPr>
                              <w:rStyle w:val="Lienhypertexte"/>
                              <w:rFonts w:ascii="Arial" w:eastAsia="Times New Roman" w:hAnsi="Arial" w:cs="Arial"/>
                              <w:sz w:val="20"/>
                              <w:szCs w:val="20"/>
                            </w:rPr>
                            <w:t>DHOS/F4/2009 du 19 octobre 2009</w:t>
                          </w:r>
                        </w:hyperlink>
                        <w:r>
                          <w:rPr>
                            <w:rFonts w:ascii="Arial" w:eastAsia="Times New Roman" w:hAnsi="Arial" w:cs="Arial"/>
                            <w:color w:val="436999"/>
                            <w:sz w:val="20"/>
                            <w:szCs w:val="20"/>
                          </w:rPr>
                          <w:t xml:space="preserve"> relative aux règles de facturation des soins dispensés dans les établissements de santé, comportant en annexe le guide des règles de facturation des soins dispensés dans les établissements de santé de 2009, élaboré par la DGOS et la CNAMTS.</w:t>
                        </w:r>
                      </w:p>
                      <w:p w:rsidR="00DE5673" w:rsidRDefault="00DE5673">
                        <w:pPr>
                          <w:spacing w:after="240"/>
                          <w:jc w:val="both"/>
                          <w:rPr>
                            <w:rFonts w:ascii="Arial" w:eastAsia="Times New Roman" w:hAnsi="Arial" w:cs="Arial"/>
                            <w:color w:val="436999"/>
                            <w:sz w:val="20"/>
                            <w:szCs w:val="20"/>
                          </w:rPr>
                        </w:pPr>
                        <w:r>
                          <w:rPr>
                            <w:rFonts w:ascii="Arial" w:eastAsia="Times New Roman" w:hAnsi="Arial" w:cs="Arial"/>
                            <w:color w:val="436999"/>
                            <w:sz w:val="20"/>
                            <w:szCs w:val="20"/>
                          </w:rPr>
                          <w:br/>
                          <w:t>Cette instruction du 23 décembre 2015 </w:t>
                        </w:r>
                        <w:r>
                          <w:rPr>
                            <w:rStyle w:val="lev"/>
                            <w:rFonts w:ascii="Arial" w:eastAsia="Times New Roman" w:hAnsi="Arial" w:cs="Arial"/>
                            <w:color w:val="436999"/>
                            <w:sz w:val="20"/>
                            <w:szCs w:val="20"/>
                          </w:rPr>
                          <w:t>rejoint et complète</w:t>
                        </w:r>
                        <w:r>
                          <w:rPr>
                            <w:rFonts w:ascii="Arial" w:eastAsia="Times New Roman" w:hAnsi="Arial" w:cs="Arial"/>
                            <w:color w:val="436999"/>
                            <w:sz w:val="20"/>
                            <w:szCs w:val="20"/>
                          </w:rPr>
                          <w:t xml:space="preserve"> le </w:t>
                        </w:r>
                        <w:r>
                          <w:rPr>
                            <w:rStyle w:val="lev"/>
                            <w:rFonts w:ascii="Arial" w:eastAsia="Times New Roman" w:hAnsi="Arial" w:cs="Arial"/>
                            <w:color w:val="436999"/>
                            <w:sz w:val="20"/>
                            <w:szCs w:val="20"/>
                          </w:rPr>
                          <w:t>guide de prise en charge des frais de transport de patients</w:t>
                        </w:r>
                        <w:r>
                          <w:rPr>
                            <w:rFonts w:ascii="Arial" w:eastAsia="Times New Roman" w:hAnsi="Arial" w:cs="Arial"/>
                            <w:color w:val="436999"/>
                            <w:sz w:val="20"/>
                            <w:szCs w:val="20"/>
                          </w:rPr>
                          <w:t xml:space="preserve"> (diffusé par la circulaire N° </w:t>
                        </w:r>
                        <w:hyperlink r:id="rId14" w:history="1">
                          <w:r>
                            <w:rPr>
                              <w:rStyle w:val="Lienhypertexte"/>
                              <w:rFonts w:ascii="Arial" w:eastAsia="Times New Roman" w:hAnsi="Arial" w:cs="Arial"/>
                              <w:sz w:val="20"/>
                              <w:szCs w:val="20"/>
                            </w:rPr>
                            <w:t>DGOS/R2/DSS/1A/CNAMTS/2013/262</w:t>
                          </w:r>
                        </w:hyperlink>
                        <w:r>
                          <w:rPr>
                            <w:rFonts w:ascii="Arial" w:eastAsia="Times New Roman" w:hAnsi="Arial" w:cs="Arial"/>
                            <w:color w:val="436999"/>
                            <w:sz w:val="20"/>
                            <w:szCs w:val="20"/>
                          </w:rPr>
                          <w:t xml:space="preserve"> du</w:t>
                        </w:r>
                        <w:r>
                          <w:rPr>
                            <w:rStyle w:val="lev"/>
                            <w:rFonts w:ascii="Arial" w:eastAsia="Times New Roman" w:hAnsi="Arial" w:cs="Arial"/>
                            <w:color w:val="436999"/>
                            <w:sz w:val="20"/>
                            <w:szCs w:val="20"/>
                          </w:rPr>
                          <w:t xml:space="preserve"> </w:t>
                        </w:r>
                        <w:r>
                          <w:rPr>
                            <w:rFonts w:ascii="Arial" w:eastAsia="Times New Roman" w:hAnsi="Arial" w:cs="Arial"/>
                            <w:color w:val="436999"/>
                            <w:sz w:val="20"/>
                            <w:szCs w:val="20"/>
                          </w:rPr>
                          <w:t xml:space="preserve">27 juin 2013), lequel n’abordait pas le cas des transports SMUR, mais rappelait clairement les différences de prise en charge financière en fonction du statut juridique des établissements de santé. </w:t>
                        </w:r>
                        <w:r>
                          <w:rPr>
                            <w:rFonts w:ascii="Arial" w:eastAsia="Times New Roman" w:hAnsi="Arial" w:cs="Arial"/>
                            <w:color w:val="436999"/>
                            <w:sz w:val="20"/>
                            <w:szCs w:val="20"/>
                          </w:rPr>
                          <w:br/>
                        </w:r>
                        <w:r>
                          <w:rPr>
                            <w:rFonts w:ascii="Arial" w:eastAsia="Times New Roman" w:hAnsi="Arial" w:cs="Arial"/>
                            <w:color w:val="436999"/>
                            <w:sz w:val="20"/>
                            <w:szCs w:val="20"/>
                          </w:rPr>
                          <w:br/>
                          <w:t xml:space="preserve">En synthèse et </w:t>
                        </w:r>
                        <w:r>
                          <w:rPr>
                            <w:rStyle w:val="lev"/>
                            <w:rFonts w:ascii="Arial" w:eastAsia="Times New Roman" w:hAnsi="Arial" w:cs="Arial"/>
                            <w:color w:val="436999"/>
                            <w:sz w:val="20"/>
                            <w:szCs w:val="20"/>
                          </w:rPr>
                          <w:t xml:space="preserve">« en clair » </w:t>
                        </w:r>
                        <w:r>
                          <w:rPr>
                            <w:rFonts w:ascii="Arial" w:eastAsia="Times New Roman" w:hAnsi="Arial" w:cs="Arial"/>
                            <w:color w:val="436999"/>
                            <w:sz w:val="20"/>
                            <w:szCs w:val="20"/>
                          </w:rPr>
                          <w:t>:</w:t>
                        </w:r>
                      </w:p>
                      <w:p w:rsidR="00DE5673" w:rsidRDefault="00DE5673">
                        <w:pPr>
                          <w:numPr>
                            <w:ilvl w:val="0"/>
                            <w:numId w:val="3"/>
                          </w:numPr>
                          <w:spacing w:before="100" w:beforeAutospacing="1" w:after="100" w:afterAutospacing="1"/>
                          <w:jc w:val="both"/>
                          <w:rPr>
                            <w:rFonts w:ascii="Arial" w:eastAsia="Times New Roman" w:hAnsi="Arial" w:cs="Arial"/>
                            <w:color w:val="436999"/>
                            <w:sz w:val="20"/>
                            <w:szCs w:val="20"/>
                          </w:rPr>
                        </w:pPr>
                        <w:r>
                          <w:rPr>
                            <w:rFonts w:ascii="Arial" w:eastAsia="Times New Roman" w:hAnsi="Arial" w:cs="Arial"/>
                            <w:color w:val="436999"/>
                            <w:sz w:val="20"/>
                            <w:szCs w:val="20"/>
                          </w:rPr>
                          <w:t xml:space="preserve">Les missions du SMUR telles que définies par l’article </w:t>
                        </w:r>
                        <w:hyperlink r:id="rId15" w:history="1">
                          <w:r>
                            <w:rPr>
                              <w:rStyle w:val="Lienhypertexte"/>
                              <w:rFonts w:ascii="Arial" w:eastAsia="Times New Roman" w:hAnsi="Arial" w:cs="Arial"/>
                              <w:sz w:val="20"/>
                              <w:szCs w:val="20"/>
                            </w:rPr>
                            <w:t>R. 6123-15</w:t>
                          </w:r>
                        </w:hyperlink>
                        <w:r>
                          <w:rPr>
                            <w:rFonts w:ascii="Arial" w:eastAsia="Times New Roman" w:hAnsi="Arial" w:cs="Arial"/>
                            <w:color w:val="436999"/>
                            <w:sz w:val="20"/>
                            <w:szCs w:val="20"/>
                          </w:rPr>
                          <w:t xml:space="preserve"> du code de la santé publique relevant toutes de la mission de service public de l’aide médicale urgente, le mode normal de financement de l’activité du SMUR est celui de la subvention, par la dotation MIG des établissements sièges de SMUR.</w:t>
                        </w:r>
                      </w:p>
                      <w:p w:rsidR="00DE5673" w:rsidRDefault="00DE5673">
                        <w:pPr>
                          <w:spacing w:after="240"/>
                          <w:jc w:val="both"/>
                          <w:rPr>
                            <w:rFonts w:ascii="Arial" w:eastAsia="Times New Roman" w:hAnsi="Arial" w:cs="Arial"/>
                            <w:color w:val="436999"/>
                            <w:sz w:val="20"/>
                            <w:szCs w:val="20"/>
                          </w:rPr>
                        </w:pPr>
                        <w:r>
                          <w:rPr>
                            <w:rFonts w:ascii="Arial" w:eastAsia="Times New Roman" w:hAnsi="Arial" w:cs="Arial"/>
                            <w:color w:val="436999"/>
                            <w:sz w:val="20"/>
                            <w:szCs w:val="20"/>
                          </w:rPr>
                          <w:t xml:space="preserve">A ce titre, les transports SMUR secondaires </w:t>
                        </w:r>
                        <w:r>
                          <w:rPr>
                            <w:rStyle w:val="lev"/>
                            <w:rFonts w:ascii="Arial" w:eastAsia="Times New Roman" w:hAnsi="Arial" w:cs="Arial"/>
                            <w:color w:val="436999"/>
                            <w:sz w:val="20"/>
                            <w:szCs w:val="20"/>
                          </w:rPr>
                          <w:t>définitifs</w:t>
                        </w:r>
                        <w:r>
                          <w:rPr>
                            <w:rFonts w:ascii="Arial" w:eastAsia="Times New Roman" w:hAnsi="Arial" w:cs="Arial"/>
                            <w:color w:val="436999"/>
                            <w:sz w:val="20"/>
                            <w:szCs w:val="20"/>
                          </w:rPr>
                          <w:t xml:space="preserve"> sont </w:t>
                        </w:r>
                        <w:r>
                          <w:rPr>
                            <w:rStyle w:val="lev"/>
                            <w:rFonts w:ascii="Arial" w:eastAsia="Times New Roman" w:hAnsi="Arial" w:cs="Arial"/>
                            <w:color w:val="436999"/>
                            <w:sz w:val="20"/>
                            <w:szCs w:val="20"/>
                          </w:rPr>
                          <w:t>financés</w:t>
                        </w:r>
                        <w:r>
                          <w:rPr>
                            <w:rFonts w:ascii="Arial" w:eastAsia="Times New Roman" w:hAnsi="Arial" w:cs="Arial"/>
                            <w:color w:val="436999"/>
                            <w:sz w:val="20"/>
                            <w:szCs w:val="20"/>
                          </w:rPr>
                          <w:t xml:space="preserve"> </w:t>
                        </w:r>
                        <w:r>
                          <w:rPr>
                            <w:rStyle w:val="lev"/>
                            <w:rFonts w:ascii="Arial" w:eastAsia="Times New Roman" w:hAnsi="Arial" w:cs="Arial"/>
                            <w:color w:val="436999"/>
                            <w:sz w:val="20"/>
                            <w:szCs w:val="20"/>
                          </w:rPr>
                          <w:t>selon les règles de droit commun de financement de l’activité de SMUR</w:t>
                        </w:r>
                        <w:r>
                          <w:rPr>
                            <w:rFonts w:ascii="Arial" w:eastAsia="Times New Roman" w:hAnsi="Arial" w:cs="Arial"/>
                            <w:color w:val="436999"/>
                            <w:sz w:val="20"/>
                            <w:szCs w:val="20"/>
                          </w:rPr>
                          <w:t xml:space="preserve">, avec la dotation </w:t>
                        </w:r>
                        <w:r>
                          <w:rPr>
                            <w:rStyle w:val="lev"/>
                            <w:rFonts w:ascii="Arial" w:eastAsia="Times New Roman" w:hAnsi="Arial" w:cs="Arial"/>
                            <w:color w:val="436999"/>
                            <w:sz w:val="20"/>
                            <w:szCs w:val="20"/>
                          </w:rPr>
                          <w:t>MIG</w:t>
                        </w:r>
                        <w:r>
                          <w:rPr>
                            <w:rFonts w:ascii="Arial" w:eastAsia="Times New Roman" w:hAnsi="Arial" w:cs="Arial"/>
                            <w:color w:val="436999"/>
                            <w:sz w:val="20"/>
                            <w:szCs w:val="20"/>
                          </w:rPr>
                          <w:t xml:space="preserve"> des établissements sièges de SMUR.</w:t>
                        </w:r>
                      </w:p>
                      <w:p w:rsidR="00DE5673" w:rsidRDefault="00DE5673">
                        <w:pPr>
                          <w:numPr>
                            <w:ilvl w:val="0"/>
                            <w:numId w:val="4"/>
                          </w:numPr>
                          <w:spacing w:before="100" w:beforeAutospacing="1" w:after="100" w:afterAutospacing="1"/>
                          <w:jc w:val="both"/>
                          <w:rPr>
                            <w:rFonts w:ascii="Arial" w:eastAsia="Times New Roman" w:hAnsi="Arial" w:cs="Arial"/>
                            <w:color w:val="436999"/>
                            <w:sz w:val="20"/>
                            <w:szCs w:val="20"/>
                          </w:rPr>
                        </w:pPr>
                        <w:r>
                          <w:rPr>
                            <w:rStyle w:val="lev"/>
                            <w:rFonts w:ascii="Arial" w:eastAsia="Times New Roman" w:hAnsi="Arial" w:cs="Arial"/>
                            <w:color w:val="436999"/>
                            <w:sz w:val="20"/>
                            <w:szCs w:val="20"/>
                          </w:rPr>
                          <w:t>Par dérogation</w:t>
                        </w:r>
                        <w:r>
                          <w:rPr>
                            <w:rFonts w:ascii="Arial" w:eastAsia="Times New Roman" w:hAnsi="Arial" w:cs="Arial"/>
                            <w:color w:val="436999"/>
                            <w:sz w:val="20"/>
                            <w:szCs w:val="20"/>
                          </w:rPr>
                          <w:t xml:space="preserve">, les transports SMUR secondaires </w:t>
                        </w:r>
                        <w:r>
                          <w:rPr>
                            <w:rStyle w:val="lev"/>
                            <w:rFonts w:ascii="Arial" w:eastAsia="Times New Roman" w:hAnsi="Arial" w:cs="Arial"/>
                            <w:color w:val="436999"/>
                            <w:sz w:val="20"/>
                            <w:szCs w:val="20"/>
                          </w:rPr>
                          <w:t>provisoires</w:t>
                        </w:r>
                        <w:r>
                          <w:rPr>
                            <w:rFonts w:ascii="Arial" w:eastAsia="Times New Roman" w:hAnsi="Arial" w:cs="Arial"/>
                            <w:color w:val="436999"/>
                            <w:sz w:val="20"/>
                            <w:szCs w:val="20"/>
                          </w:rPr>
                          <w:t xml:space="preserve"> </w:t>
                        </w:r>
                        <w:r>
                          <w:rPr>
                            <w:rStyle w:val="lev"/>
                            <w:rFonts w:ascii="Arial" w:eastAsia="Times New Roman" w:hAnsi="Arial" w:cs="Arial"/>
                            <w:color w:val="436999"/>
                            <w:sz w:val="20"/>
                            <w:szCs w:val="20"/>
                          </w:rPr>
                          <w:t>sont facturables</w:t>
                        </w:r>
                        <w:r>
                          <w:rPr>
                            <w:rFonts w:ascii="Arial" w:eastAsia="Times New Roman" w:hAnsi="Arial" w:cs="Arial"/>
                            <w:color w:val="436999"/>
                            <w:sz w:val="20"/>
                            <w:szCs w:val="20"/>
                          </w:rPr>
                          <w:t xml:space="preserve"> par l’établissement siège du SMUR à l’établissement d’origine.</w:t>
                        </w:r>
                      </w:p>
                      <w:p w:rsidR="00DE5673" w:rsidRDefault="00DE5673">
                        <w:pPr>
                          <w:jc w:val="both"/>
                          <w:rPr>
                            <w:rFonts w:ascii="Arial" w:eastAsia="Times New Roman" w:hAnsi="Arial" w:cs="Arial"/>
                            <w:color w:val="436999"/>
                            <w:sz w:val="20"/>
                            <w:szCs w:val="20"/>
                          </w:rPr>
                        </w:pPr>
                        <w:r>
                          <w:rPr>
                            <w:rFonts w:ascii="Arial" w:eastAsia="Times New Roman" w:hAnsi="Arial" w:cs="Arial"/>
                            <w:color w:val="436999"/>
                            <w:sz w:val="20"/>
                            <w:szCs w:val="20"/>
                          </w:rPr>
                          <w:br/>
                          <w:t>Cette facturation peut être mise à la charge financière directe :</w:t>
                        </w:r>
                      </w:p>
                      <w:p w:rsidR="00DE5673" w:rsidRDefault="00DE5673">
                        <w:pPr>
                          <w:numPr>
                            <w:ilvl w:val="1"/>
                            <w:numId w:val="5"/>
                          </w:numPr>
                          <w:spacing w:before="100" w:beforeAutospacing="1" w:after="100" w:afterAutospacing="1"/>
                          <w:jc w:val="both"/>
                          <w:rPr>
                            <w:rFonts w:ascii="Arial" w:eastAsia="Times New Roman" w:hAnsi="Arial" w:cs="Arial"/>
                            <w:color w:val="436999"/>
                            <w:sz w:val="20"/>
                            <w:szCs w:val="20"/>
                          </w:rPr>
                        </w:pPr>
                        <w:r>
                          <w:rPr>
                            <w:rStyle w:val="lev"/>
                            <w:rFonts w:ascii="Arial" w:eastAsia="Times New Roman" w:hAnsi="Arial" w:cs="Arial"/>
                            <w:color w:val="436999"/>
                            <w:sz w:val="20"/>
                            <w:szCs w:val="20"/>
                          </w:rPr>
                          <w:t xml:space="preserve">Soit </w:t>
                        </w:r>
                        <w:r>
                          <w:rPr>
                            <w:rFonts w:ascii="Arial" w:eastAsia="Times New Roman" w:hAnsi="Arial" w:cs="Arial"/>
                            <w:color w:val="436999"/>
                            <w:sz w:val="20"/>
                            <w:szCs w:val="20"/>
                          </w:rPr>
                          <w:t xml:space="preserve">de l’établissement de santé d’origine, </w:t>
                        </w:r>
                        <w:r>
                          <w:rPr>
                            <w:rStyle w:val="lev"/>
                            <w:rFonts w:ascii="Arial" w:eastAsia="Times New Roman" w:hAnsi="Arial" w:cs="Arial"/>
                            <w:color w:val="436999"/>
                            <w:sz w:val="20"/>
                            <w:szCs w:val="20"/>
                          </w:rPr>
                          <w:t>s’il relève des «a, b et c»</w:t>
                        </w:r>
                        <w:r>
                          <w:rPr>
                            <w:rFonts w:ascii="Arial" w:eastAsia="Times New Roman" w:hAnsi="Arial" w:cs="Arial"/>
                            <w:color w:val="436999"/>
                            <w:sz w:val="20"/>
                            <w:szCs w:val="20"/>
                          </w:rPr>
                          <w:t xml:space="preserve"> de l’article L. 162-22-6 du code la sécurité sociale, c’est-à-dire s’il s’agit d’un établissement public de santé ou d’un établissement de santé privé « à but non lucratif », ESPIC ou sous DAF ;</w:t>
                        </w:r>
                      </w:p>
                      <w:p w:rsidR="00DE5673" w:rsidRDefault="00DE5673">
                        <w:pPr>
                          <w:numPr>
                            <w:ilvl w:val="1"/>
                            <w:numId w:val="5"/>
                          </w:numPr>
                          <w:spacing w:before="100" w:beforeAutospacing="1" w:after="100" w:afterAutospacing="1"/>
                          <w:jc w:val="both"/>
                          <w:rPr>
                            <w:rFonts w:ascii="Arial" w:eastAsia="Times New Roman" w:hAnsi="Arial" w:cs="Arial"/>
                            <w:color w:val="436999"/>
                            <w:sz w:val="20"/>
                            <w:szCs w:val="20"/>
                          </w:rPr>
                        </w:pPr>
                        <w:r>
                          <w:rPr>
                            <w:rStyle w:val="lev"/>
                            <w:rFonts w:ascii="Arial" w:eastAsia="Times New Roman" w:hAnsi="Arial" w:cs="Arial"/>
                            <w:color w:val="436999"/>
                            <w:sz w:val="20"/>
                            <w:szCs w:val="20"/>
                          </w:rPr>
                          <w:t xml:space="preserve">Soit </w:t>
                        </w:r>
                        <w:r>
                          <w:rPr>
                            <w:rFonts w:ascii="Arial" w:eastAsia="Times New Roman" w:hAnsi="Arial" w:cs="Arial"/>
                            <w:color w:val="436999"/>
                            <w:sz w:val="20"/>
                            <w:szCs w:val="20"/>
                          </w:rPr>
                          <w:t xml:space="preserve">de l’assurance maladie, si l’établissement d’origine </w:t>
                        </w:r>
                        <w:r>
                          <w:rPr>
                            <w:rStyle w:val="lev"/>
                            <w:rFonts w:ascii="Arial" w:eastAsia="Times New Roman" w:hAnsi="Arial" w:cs="Arial"/>
                            <w:color w:val="436999"/>
                            <w:sz w:val="20"/>
                            <w:szCs w:val="20"/>
                          </w:rPr>
                          <w:t>relève du «d»</w:t>
                        </w:r>
                        <w:r>
                          <w:rPr>
                            <w:rFonts w:ascii="Arial" w:eastAsia="Times New Roman" w:hAnsi="Arial" w:cs="Arial"/>
                            <w:color w:val="436999"/>
                            <w:sz w:val="20"/>
                            <w:szCs w:val="20"/>
                          </w:rPr>
                          <w:t xml:space="preserve"> du même article L. 162-22-6 du code la sécurité sociale, c’est-à-dire s’il s’agit d’un établissement de santé privé  « autres que ceux mentionnés aux b et c, ayant conclu un contrat pluriannuel d'objectifs et de moyens avec l'agence régionale de santé » (</w:t>
                        </w:r>
                        <w:r>
                          <w:rPr>
                            <w:rStyle w:val="lev"/>
                            <w:rFonts w:ascii="Arial" w:eastAsia="Times New Roman" w:hAnsi="Arial" w:cs="Arial"/>
                            <w:color w:val="436999"/>
                            <w:sz w:val="20"/>
                            <w:szCs w:val="20"/>
                          </w:rPr>
                          <w:t>cas des cliniques et hôpitaux privés</w:t>
                        </w:r>
                        <w:r>
                          <w:rPr>
                            <w:rFonts w:ascii="Arial" w:eastAsia="Times New Roman" w:hAnsi="Arial" w:cs="Arial"/>
                            <w:color w:val="436999"/>
                            <w:sz w:val="20"/>
                            <w:szCs w:val="20"/>
                          </w:rPr>
                          <w:t>).</w:t>
                        </w:r>
                      </w:p>
                      <w:p w:rsidR="00DE5673" w:rsidRDefault="00DE5673">
                        <w:pPr>
                          <w:jc w:val="both"/>
                          <w:rPr>
                            <w:rFonts w:ascii="Arial" w:eastAsia="Times New Roman" w:hAnsi="Arial" w:cs="Arial"/>
                            <w:color w:val="436999"/>
                            <w:sz w:val="20"/>
                            <w:szCs w:val="20"/>
                          </w:rPr>
                        </w:pPr>
                        <w:r>
                          <w:rPr>
                            <w:rFonts w:ascii="Arial" w:eastAsia="Times New Roman" w:hAnsi="Arial" w:cs="Arial"/>
                            <w:color w:val="436999"/>
                            <w:sz w:val="20"/>
                            <w:szCs w:val="20"/>
                          </w:rPr>
                          <w:t xml:space="preserve">En conséquence de quoi, </w:t>
                        </w:r>
                        <w:r>
                          <w:rPr>
                            <w:rStyle w:val="lev"/>
                            <w:rFonts w:ascii="Arial" w:eastAsia="Times New Roman" w:hAnsi="Arial" w:cs="Arial"/>
                            <w:color w:val="436999"/>
                            <w:sz w:val="20"/>
                            <w:szCs w:val="20"/>
                            <w:u w:val="single"/>
                          </w:rPr>
                          <w:t>aucune prestation des SMUR</w:t>
                        </w:r>
                        <w:r>
                          <w:rPr>
                            <w:rFonts w:ascii="Arial" w:eastAsia="Times New Roman" w:hAnsi="Arial" w:cs="Arial"/>
                            <w:color w:val="436999"/>
                            <w:sz w:val="20"/>
                            <w:szCs w:val="20"/>
                          </w:rPr>
                          <w:t xml:space="preserve"> aucune prestation des SMUR (en fonction de la durée ou encore de la « nature » du transfert) n’est à la charge financière des établissements de santé privés relevant du d de l’article L. 162-22-6 du code de la sécurité sociale.</w:t>
                        </w:r>
                        <w:r>
                          <w:rPr>
                            <w:rFonts w:ascii="Arial" w:eastAsia="Times New Roman" w:hAnsi="Arial" w:cs="Arial"/>
                            <w:b/>
                            <w:bCs/>
                            <w:color w:val="436999"/>
                            <w:sz w:val="20"/>
                            <w:szCs w:val="20"/>
                          </w:rPr>
                          <w:br/>
                        </w:r>
                        <w:r>
                          <w:rPr>
                            <w:rFonts w:ascii="Arial" w:eastAsia="Times New Roman" w:hAnsi="Arial" w:cs="Arial"/>
                            <w:b/>
                            <w:bCs/>
                            <w:color w:val="436999"/>
                            <w:sz w:val="20"/>
                            <w:szCs w:val="20"/>
                          </w:rPr>
                          <w:br/>
                        </w:r>
                        <w:r>
                          <w:rPr>
                            <w:rStyle w:val="lev"/>
                            <w:rFonts w:ascii="Arial" w:eastAsia="Times New Roman" w:hAnsi="Arial" w:cs="Arial"/>
                            <w:color w:val="436999"/>
                            <w:sz w:val="20"/>
                            <w:szCs w:val="20"/>
                          </w:rPr>
                          <w:t>Consigne est enfin donnée aux DG ARS</w:t>
                        </w:r>
                        <w:r>
                          <w:rPr>
                            <w:rFonts w:ascii="Arial" w:eastAsia="Times New Roman" w:hAnsi="Arial" w:cs="Arial"/>
                            <w:color w:val="436999"/>
                            <w:sz w:val="20"/>
                            <w:szCs w:val="20"/>
                          </w:rPr>
                          <w:t xml:space="preserve"> de se montrer vigilants à ce que les établissements gestionnaires de SMUR s’engagent à l’</w:t>
                        </w:r>
                        <w:r>
                          <w:rPr>
                            <w:rStyle w:val="lev"/>
                            <w:rFonts w:ascii="Arial" w:eastAsia="Times New Roman" w:hAnsi="Arial" w:cs="Arial"/>
                            <w:color w:val="436999"/>
                            <w:sz w:val="20"/>
                            <w:szCs w:val="20"/>
                          </w:rPr>
                          <w:t xml:space="preserve">apurement des litiges </w:t>
                        </w:r>
                        <w:r>
                          <w:rPr>
                            <w:rFonts w:ascii="Arial" w:eastAsia="Times New Roman" w:hAnsi="Arial" w:cs="Arial"/>
                            <w:color w:val="436999"/>
                            <w:sz w:val="20"/>
                            <w:szCs w:val="20"/>
                          </w:rPr>
                          <w:t>et à l’</w:t>
                        </w:r>
                        <w:r>
                          <w:rPr>
                            <w:rStyle w:val="lev"/>
                            <w:rFonts w:ascii="Arial" w:eastAsia="Times New Roman" w:hAnsi="Arial" w:cs="Arial"/>
                            <w:color w:val="436999"/>
                            <w:sz w:val="20"/>
                            <w:szCs w:val="20"/>
                          </w:rPr>
                          <w:t xml:space="preserve">annulation des titres de créances émis de façon non conforme </w:t>
                        </w:r>
                        <w:r>
                          <w:rPr>
                            <w:rFonts w:ascii="Arial" w:eastAsia="Times New Roman" w:hAnsi="Arial" w:cs="Arial"/>
                            <w:color w:val="436999"/>
                            <w:sz w:val="20"/>
                            <w:szCs w:val="20"/>
                          </w:rPr>
                          <w:t>à la règlementation en la matière.</w:t>
                        </w:r>
                        <w:r>
                          <w:rPr>
                            <w:rFonts w:ascii="Arial" w:eastAsia="Times New Roman" w:hAnsi="Arial" w:cs="Arial"/>
                            <w:color w:val="436999"/>
                            <w:sz w:val="20"/>
                            <w:szCs w:val="20"/>
                          </w:rPr>
                          <w:br/>
                        </w:r>
                        <w:r>
                          <w:rPr>
                            <w:rFonts w:ascii="Arial" w:eastAsia="Times New Roman" w:hAnsi="Arial" w:cs="Arial"/>
                            <w:color w:val="436999"/>
                            <w:sz w:val="20"/>
                            <w:szCs w:val="20"/>
                          </w:rPr>
                          <w:lastRenderedPageBreak/>
                          <w:br/>
                          <w:t>Il s’agira de veiller à ce que ces consignes soient effectivement relayées et efficaces.</w:t>
                        </w:r>
                        <w:r>
                          <w:rPr>
                            <w:rFonts w:ascii="Arial" w:eastAsia="Times New Roman" w:hAnsi="Arial" w:cs="Arial"/>
                            <w:color w:val="436999"/>
                            <w:sz w:val="20"/>
                            <w:szCs w:val="20"/>
                          </w:rPr>
                          <w:br/>
                        </w:r>
                        <w:r>
                          <w:rPr>
                            <w:rFonts w:ascii="Arial" w:eastAsia="Times New Roman" w:hAnsi="Arial" w:cs="Arial"/>
                            <w:color w:val="436999"/>
                            <w:sz w:val="20"/>
                            <w:szCs w:val="20"/>
                          </w:rPr>
                          <w:br/>
                          <w:t xml:space="preserve">Pour toute question concernant ce sujet, Grégory CAUMES, Responsable des affaires Juridiques au sein de la Direction de la prospective, économique, médicale et juridique de la FHP est à votre disposition au : 01 53 83 56 60 ou </w:t>
                        </w:r>
                        <w:hyperlink r:id="rId16" w:history="1">
                          <w:r>
                            <w:rPr>
                              <w:rStyle w:val="Lienhypertexte"/>
                              <w:rFonts w:ascii="Arial" w:eastAsia="Times New Roman" w:hAnsi="Arial" w:cs="Arial"/>
                              <w:sz w:val="20"/>
                              <w:szCs w:val="20"/>
                            </w:rPr>
                            <w:t>gregory.caumes@fhp.fr</w:t>
                          </w:r>
                        </w:hyperlink>
                        <w:r>
                          <w:rPr>
                            <w:rFonts w:ascii="Arial" w:eastAsia="Times New Roman" w:hAnsi="Arial" w:cs="Arial"/>
                            <w:color w:val="436999"/>
                            <w:sz w:val="20"/>
                            <w:szCs w:val="20"/>
                          </w:rPr>
                          <w:t xml:space="preserve">. </w:t>
                        </w:r>
                      </w:p>
                      <w:p w:rsidR="00DE5673" w:rsidRDefault="00DE5673">
                        <w:pPr>
                          <w:spacing w:after="240"/>
                          <w:rPr>
                            <w:rFonts w:ascii="Arial" w:eastAsia="Times New Roman" w:hAnsi="Arial" w:cs="Arial"/>
                            <w:color w:val="436999"/>
                            <w:sz w:val="20"/>
                            <w:szCs w:val="20"/>
                          </w:rPr>
                        </w:pPr>
                        <w:r>
                          <w:rPr>
                            <w:rFonts w:ascii="Arial" w:eastAsia="Times New Roman" w:hAnsi="Arial" w:cs="Arial"/>
                            <w:color w:val="436999"/>
                            <w:sz w:val="20"/>
                            <w:szCs w:val="20"/>
                          </w:rPr>
                          <w:br/>
                        </w:r>
                        <w:r>
                          <w:rPr>
                            <w:rFonts w:ascii="Arial" w:eastAsia="Times New Roman" w:hAnsi="Arial" w:cs="Arial"/>
                            <w:color w:val="436999"/>
                            <w:sz w:val="20"/>
                            <w:szCs w:val="20"/>
                          </w:rPr>
                          <w:br/>
                        </w:r>
                        <w:r>
                          <w:rPr>
                            <w:rFonts w:ascii="Arial" w:eastAsia="Times New Roman" w:hAnsi="Arial" w:cs="Arial"/>
                            <w:color w:val="436999"/>
                            <w:sz w:val="20"/>
                            <w:szCs w:val="20"/>
                          </w:rPr>
                          <w:br/>
                        </w:r>
                        <w:r>
                          <w:rPr>
                            <w:rFonts w:ascii="Arial" w:eastAsia="Times New Roman" w:hAnsi="Arial" w:cs="Arial"/>
                            <w:noProof/>
                            <w:color w:val="436999"/>
                            <w:sz w:val="20"/>
                            <w:szCs w:val="20"/>
                          </w:rPr>
                          <w:drawing>
                            <wp:inline distT="0" distB="0" distL="0" distR="0">
                              <wp:extent cx="2190750" cy="419100"/>
                              <wp:effectExtent l="0" t="0" r="0" b="0"/>
                              <wp:docPr id="3" name="Image 3" descr="http://www.fhp.fr/fichiers/20130916120112_A_telech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hp.fr/fichiers/20130916120112_A_telecharg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0" cy="419100"/>
                                      </a:xfrm>
                                      <a:prstGeom prst="rect">
                                        <a:avLst/>
                                      </a:prstGeom>
                                      <a:noFill/>
                                      <a:ln>
                                        <a:noFill/>
                                      </a:ln>
                                    </pic:spPr>
                                  </pic:pic>
                                </a:graphicData>
                              </a:graphic>
                            </wp:inline>
                          </w:drawing>
                        </w:r>
                        <w:r>
                          <w:rPr>
                            <w:rFonts w:ascii="Arial" w:eastAsia="Times New Roman" w:hAnsi="Arial" w:cs="Arial"/>
                            <w:color w:val="436999"/>
                            <w:sz w:val="20"/>
                            <w:szCs w:val="20"/>
                          </w:rPr>
                          <w:br/>
                        </w:r>
                        <w:r>
                          <w:rPr>
                            <w:rFonts w:ascii="Arial" w:eastAsia="Times New Roman" w:hAnsi="Arial" w:cs="Arial"/>
                            <w:color w:val="436999"/>
                            <w:sz w:val="20"/>
                            <w:szCs w:val="20"/>
                          </w:rPr>
                          <w:br/>
                        </w:r>
                        <w:hyperlink r:id="rId18" w:history="1">
                          <w:r>
                            <w:rPr>
                              <w:rStyle w:val="Lienhypertexte"/>
                              <w:rFonts w:ascii="Arial" w:eastAsia="Times New Roman" w:hAnsi="Arial" w:cs="Arial"/>
                              <w:sz w:val="20"/>
                              <w:szCs w:val="20"/>
                            </w:rPr>
                            <w:t>INSTRUCTION N° DGOS/R2/2015/378 du 23 décembre 2015</w:t>
                          </w:r>
                        </w:hyperlink>
                        <w:r>
                          <w:rPr>
                            <w:rFonts w:ascii="Arial" w:eastAsia="Times New Roman" w:hAnsi="Arial" w:cs="Arial"/>
                            <w:color w:val="436999"/>
                            <w:sz w:val="20"/>
                            <w:szCs w:val="20"/>
                          </w:rPr>
                          <w:t xml:space="preserve"> relative aux pratiques de facturation inter-établissement des transports SMUR secondaires.</w:t>
                        </w:r>
                        <w:r>
                          <w:rPr>
                            <w:rFonts w:ascii="Arial" w:eastAsia="Times New Roman" w:hAnsi="Arial" w:cs="Arial"/>
                            <w:color w:val="436999"/>
                            <w:sz w:val="20"/>
                            <w:szCs w:val="20"/>
                          </w:rPr>
                          <w:br/>
                        </w:r>
                      </w:p>
                    </w:tc>
                  </w:tr>
                </w:tbl>
                <w:p w:rsidR="00DE5673" w:rsidRDefault="00DE5673">
                  <w:pPr>
                    <w:rPr>
                      <w:rFonts w:eastAsia="Times New Roman"/>
                      <w:sz w:val="20"/>
                      <w:szCs w:val="20"/>
                    </w:rPr>
                  </w:pPr>
                </w:p>
              </w:tc>
            </w:tr>
            <w:tr w:rsidR="00DE5673">
              <w:trPr>
                <w:tblCellSpacing w:w="0" w:type="dxa"/>
              </w:trPr>
              <w:tc>
                <w:tcPr>
                  <w:tcW w:w="0" w:type="auto"/>
                  <w:shd w:val="clear" w:color="auto" w:fill="F8F8F8"/>
                  <w:tcMar>
                    <w:top w:w="0" w:type="dxa"/>
                    <w:left w:w="0" w:type="dxa"/>
                    <w:bottom w:w="225" w:type="dxa"/>
                    <w:right w:w="150" w:type="dxa"/>
                  </w:tcMar>
                  <w:vAlign w:val="center"/>
                  <w:hideMark/>
                </w:tcPr>
                <w:p w:rsidR="00DE5673" w:rsidRDefault="00DE5673">
                  <w:pPr>
                    <w:jc w:val="right"/>
                    <w:rPr>
                      <w:rFonts w:ascii="Arial" w:eastAsia="Times New Roman" w:hAnsi="Arial" w:cs="Arial"/>
                      <w:b/>
                      <w:bCs/>
                      <w:color w:val="013E6A"/>
                      <w:sz w:val="18"/>
                      <w:szCs w:val="18"/>
                    </w:rPr>
                  </w:pPr>
                  <w:r>
                    <w:rPr>
                      <w:rFonts w:ascii="Arial" w:eastAsia="Times New Roman" w:hAnsi="Arial" w:cs="Arial"/>
                      <w:b/>
                      <w:bCs/>
                      <w:color w:val="013E6A"/>
                      <w:sz w:val="18"/>
                      <w:szCs w:val="18"/>
                    </w:rPr>
                    <w:lastRenderedPageBreak/>
                    <w:t>Elisabeth TOMÉ-GERTHEINRICHS</w:t>
                  </w:r>
                  <w:r>
                    <w:rPr>
                      <w:rFonts w:ascii="Arial" w:eastAsia="Times New Roman" w:hAnsi="Arial" w:cs="Arial"/>
                      <w:b/>
                      <w:bCs/>
                      <w:color w:val="013E6A"/>
                      <w:sz w:val="18"/>
                      <w:szCs w:val="18"/>
                    </w:rPr>
                    <w:br/>
                    <w:t xml:space="preserve">Déléguée Générale </w:t>
                  </w:r>
                </w:p>
              </w:tc>
            </w:tr>
            <w:tr w:rsidR="00DE5673">
              <w:trPr>
                <w:tblCellSpacing w:w="0" w:type="dxa"/>
              </w:trPr>
              <w:tc>
                <w:tcPr>
                  <w:tcW w:w="0" w:type="auto"/>
                  <w:shd w:val="clear" w:color="auto" w:fill="CEE8FD"/>
                  <w:vAlign w:val="center"/>
                  <w:hideMark/>
                </w:tcPr>
                <w:tbl>
                  <w:tblPr>
                    <w:tblW w:w="5000" w:type="pct"/>
                    <w:tblCellSpacing w:w="0" w:type="dxa"/>
                    <w:tblCellMar>
                      <w:left w:w="150" w:type="dxa"/>
                      <w:bottom w:w="150" w:type="dxa"/>
                      <w:right w:w="0" w:type="dxa"/>
                    </w:tblCellMar>
                    <w:tblLook w:val="04A0" w:firstRow="1" w:lastRow="0" w:firstColumn="1" w:lastColumn="0" w:noHBand="0" w:noVBand="1"/>
                  </w:tblPr>
                  <w:tblGrid>
                    <w:gridCol w:w="6750"/>
                    <w:gridCol w:w="2250"/>
                  </w:tblGrid>
                  <w:tr w:rsidR="00DE5673">
                    <w:trPr>
                      <w:tblCellSpacing w:w="0" w:type="dxa"/>
                    </w:trPr>
                    <w:tc>
                      <w:tcPr>
                        <w:tcW w:w="0" w:type="auto"/>
                        <w:gridSpan w:val="2"/>
                        <w:vAlign w:val="center"/>
                        <w:hideMark/>
                      </w:tcPr>
                      <w:p w:rsidR="00DE5673" w:rsidRDefault="00DE5673">
                        <w:pPr>
                          <w:rPr>
                            <w:rFonts w:ascii="Arial" w:eastAsia="Times New Roman" w:hAnsi="Arial" w:cs="Arial"/>
                            <w:color w:val="013E6A"/>
                            <w:sz w:val="18"/>
                            <w:szCs w:val="18"/>
                          </w:rPr>
                        </w:pPr>
                        <w:r>
                          <w:rPr>
                            <w:rFonts w:ascii="Arial" w:eastAsia="Times New Roman" w:hAnsi="Arial" w:cs="Arial"/>
                            <w:noProof/>
                            <w:color w:val="013E6A"/>
                            <w:sz w:val="18"/>
                            <w:szCs w:val="18"/>
                          </w:rPr>
                          <w:drawing>
                            <wp:inline distT="0" distB="0" distL="0" distR="0">
                              <wp:extent cx="4124325" cy="447675"/>
                              <wp:effectExtent l="0" t="0" r="9525" b="9525"/>
                              <wp:docPr id="2" name="Image 2" descr="http://www.fhp.dauphin.makoa.fr/images/emailing/fhp-foo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hp.dauphin.makoa.fr/images/emailing/fhp-footerlogo.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4325" cy="447675"/>
                                      </a:xfrm>
                                      <a:prstGeom prst="rect">
                                        <a:avLst/>
                                      </a:prstGeom>
                                      <a:noFill/>
                                      <a:ln>
                                        <a:noFill/>
                                      </a:ln>
                                    </pic:spPr>
                                  </pic:pic>
                                </a:graphicData>
                              </a:graphic>
                            </wp:inline>
                          </w:drawing>
                        </w:r>
                      </w:p>
                    </w:tc>
                  </w:tr>
                  <w:tr w:rsidR="00DE5673">
                    <w:trPr>
                      <w:tblCellSpacing w:w="0" w:type="dxa"/>
                    </w:trPr>
                    <w:tc>
                      <w:tcPr>
                        <w:tcW w:w="3750" w:type="pct"/>
                        <w:vAlign w:val="center"/>
                        <w:hideMark/>
                      </w:tcPr>
                      <w:p w:rsidR="00DE5673" w:rsidRDefault="00DE5673">
                        <w:pPr>
                          <w:rPr>
                            <w:rFonts w:ascii="Arial" w:eastAsia="Times New Roman" w:hAnsi="Arial" w:cs="Arial"/>
                            <w:color w:val="013E6A"/>
                            <w:sz w:val="18"/>
                            <w:szCs w:val="18"/>
                          </w:rPr>
                        </w:pPr>
                        <w:r>
                          <w:rPr>
                            <w:rStyle w:val="lev"/>
                            <w:rFonts w:ascii="Arial" w:eastAsia="Times New Roman" w:hAnsi="Arial" w:cs="Arial"/>
                            <w:color w:val="013E6A"/>
                            <w:sz w:val="18"/>
                            <w:szCs w:val="18"/>
                          </w:rPr>
                          <w:t>Contact : Direction de la Prospective économique, médicale et juridique</w:t>
                        </w:r>
                        <w:r>
                          <w:rPr>
                            <w:rFonts w:ascii="Arial" w:eastAsia="Times New Roman" w:hAnsi="Arial" w:cs="Arial"/>
                            <w:color w:val="013E6A"/>
                            <w:sz w:val="18"/>
                            <w:szCs w:val="18"/>
                          </w:rPr>
                          <w:br/>
                        </w:r>
                        <w:r>
                          <w:rPr>
                            <w:rStyle w:val="lev"/>
                            <w:rFonts w:ascii="Arial" w:eastAsia="Times New Roman" w:hAnsi="Arial" w:cs="Arial"/>
                            <w:color w:val="013E6A"/>
                            <w:sz w:val="18"/>
                            <w:szCs w:val="18"/>
                          </w:rPr>
                          <w:t>Grégory CAUMES</w:t>
                        </w:r>
                        <w:r>
                          <w:rPr>
                            <w:rFonts w:ascii="Arial" w:eastAsia="Times New Roman" w:hAnsi="Arial" w:cs="Arial"/>
                            <w:color w:val="013E6A"/>
                            <w:sz w:val="18"/>
                            <w:szCs w:val="18"/>
                          </w:rPr>
                          <w:br/>
                          <w:t>Responsable des affaires juridiques</w:t>
                        </w:r>
                        <w:r>
                          <w:rPr>
                            <w:rFonts w:ascii="Arial" w:eastAsia="Times New Roman" w:hAnsi="Arial" w:cs="Arial"/>
                            <w:color w:val="013E6A"/>
                            <w:sz w:val="18"/>
                            <w:szCs w:val="18"/>
                          </w:rPr>
                          <w:br/>
                          <w:t xml:space="preserve">Tél : 01 53 83 56 56 - </w:t>
                        </w:r>
                        <w:hyperlink r:id="rId20" w:history="1">
                          <w:r>
                            <w:rPr>
                              <w:rStyle w:val="Lienhypertexte"/>
                              <w:rFonts w:ascii="Arial" w:eastAsia="Times New Roman" w:hAnsi="Arial" w:cs="Arial"/>
                              <w:color w:val="013E6A"/>
                              <w:sz w:val="15"/>
                              <w:szCs w:val="15"/>
                            </w:rPr>
                            <w:t>gregory.caumes@fhp.fr</w:t>
                          </w:r>
                        </w:hyperlink>
                      </w:p>
                    </w:tc>
                    <w:tc>
                      <w:tcPr>
                        <w:tcW w:w="1250" w:type="pct"/>
                        <w:tcMar>
                          <w:top w:w="0" w:type="dxa"/>
                          <w:left w:w="150" w:type="dxa"/>
                          <w:bottom w:w="300" w:type="dxa"/>
                          <w:right w:w="150" w:type="dxa"/>
                        </w:tcMar>
                        <w:vAlign w:val="bottom"/>
                        <w:hideMark/>
                      </w:tcPr>
                      <w:p w:rsidR="00DE5673" w:rsidRDefault="00DE5673">
                        <w:pPr>
                          <w:jc w:val="right"/>
                          <w:rPr>
                            <w:rFonts w:ascii="Arial" w:eastAsia="Times New Roman" w:hAnsi="Arial" w:cs="Arial"/>
                            <w:color w:val="013E6A"/>
                            <w:sz w:val="18"/>
                            <w:szCs w:val="18"/>
                          </w:rPr>
                        </w:pPr>
                        <w:hyperlink r:id="rId21" w:history="1">
                          <w:r>
                            <w:rPr>
                              <w:rStyle w:val="Lienhypertexte"/>
                              <w:rFonts w:ascii="Arial" w:eastAsia="Times New Roman" w:hAnsi="Arial" w:cs="Arial"/>
                              <w:color w:val="013E6A"/>
                              <w:sz w:val="15"/>
                              <w:szCs w:val="15"/>
                            </w:rPr>
                            <w:t>Aller sur le site de la FHP</w:t>
                          </w:r>
                        </w:hyperlink>
                      </w:p>
                    </w:tc>
                  </w:tr>
                </w:tbl>
                <w:p w:rsidR="00DE5673" w:rsidRDefault="00DE5673">
                  <w:pPr>
                    <w:rPr>
                      <w:rFonts w:eastAsia="Times New Roman"/>
                      <w:sz w:val="20"/>
                      <w:szCs w:val="20"/>
                    </w:rPr>
                  </w:pPr>
                </w:p>
              </w:tc>
            </w:tr>
          </w:tbl>
          <w:p w:rsidR="00DE5673" w:rsidRDefault="00DE5673">
            <w:pPr>
              <w:rPr>
                <w:rFonts w:eastAsia="Times New Roman"/>
                <w:sz w:val="20"/>
                <w:szCs w:val="20"/>
              </w:rPr>
            </w:pPr>
          </w:p>
        </w:tc>
      </w:tr>
    </w:tbl>
    <w:p w:rsidR="00DE5673" w:rsidRDefault="00DE5673" w:rsidP="00DE5673">
      <w:pPr>
        <w:rPr>
          <w:rFonts w:eastAsia="Times New Roman"/>
        </w:rPr>
      </w:pPr>
      <w:r>
        <w:rPr>
          <w:rFonts w:eastAsia="Times New Roman"/>
        </w:rPr>
        <w:lastRenderedPageBreak/>
        <w:br/>
      </w:r>
      <w:r>
        <w:rPr>
          <w:rFonts w:eastAsia="Times New Roman"/>
          <w:noProof/>
        </w:rPr>
        <mc:AlternateContent>
          <mc:Choice Requires="wps">
            <w:drawing>
              <wp:inline distT="0" distB="0" distL="0" distR="0">
                <wp:extent cx="9525" cy="9525"/>
                <wp:effectExtent l="0" t="0" r="0" b="0"/>
                <wp:docPr id="1" name="Rectangle 1" descr="http://trackmail.fhp.fr/o/026k/d9b02b8e/717q2lu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5B498" id="Rectangle 1" o:spid="_x0000_s1026" alt="http://trackmail.fhp.fr/o/026k/d9b02b8e/717q2lue.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" filled="f" stroked="f">
                <o:lock v:ext="edit" aspectratio="t"/>
                <w10:anchorlock/>
              </v:rect>
            </w:pict>
          </mc:Fallback>
        </mc:AlternateContent>
      </w:r>
    </w:p>
    <w:p w:rsidR="00105C62" w:rsidRDefault="00105C62"/>
    <w:sectPr w:rsidR="00105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C68C6"/>
    <w:multiLevelType w:val="multilevel"/>
    <w:tmpl w:val="6838A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F6A2D"/>
    <w:multiLevelType w:val="multilevel"/>
    <w:tmpl w:val="15002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E7131"/>
    <w:multiLevelType w:val="multilevel"/>
    <w:tmpl w:val="465CA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B6178"/>
    <w:multiLevelType w:val="multilevel"/>
    <w:tmpl w:val="E25EB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22F88"/>
    <w:multiLevelType w:val="multilevel"/>
    <w:tmpl w:val="8486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CC"/>
    <w:rsid w:val="00105C62"/>
    <w:rsid w:val="009735CC"/>
    <w:rsid w:val="00DE5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8A04C-9FFD-4240-B364-29D59F9D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67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E5673"/>
    <w:rPr>
      <w:color w:val="0000FF"/>
      <w:u w:val="single"/>
    </w:rPr>
  </w:style>
  <w:style w:type="paragraph" w:styleId="NormalWeb">
    <w:name w:val="Normal (Web)"/>
    <w:basedOn w:val="Normal"/>
    <w:uiPriority w:val="99"/>
    <w:semiHidden/>
    <w:unhideWhenUsed/>
    <w:rsid w:val="00DE5673"/>
    <w:pPr>
      <w:spacing w:before="100" w:beforeAutospacing="1" w:after="100" w:afterAutospacing="1"/>
    </w:pPr>
  </w:style>
  <w:style w:type="character" w:styleId="lev">
    <w:name w:val="Strong"/>
    <w:basedOn w:val="Policepardfaut"/>
    <w:uiPriority w:val="22"/>
    <w:qFormat/>
    <w:rsid w:val="00DE5673"/>
    <w:rPr>
      <w:b/>
      <w:bCs/>
    </w:rPr>
  </w:style>
  <w:style w:type="character" w:styleId="Accentuation">
    <w:name w:val="Emphasis"/>
    <w:basedOn w:val="Policepardfaut"/>
    <w:uiPriority w:val="20"/>
    <w:qFormat/>
    <w:rsid w:val="00DE5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p.fr/fichiers/20160115111240_instruction_SMUR_IIR.PDF" TargetMode="External"/><Relationship Id="rId13" Type="http://schemas.openxmlformats.org/officeDocument/2006/relationships/hyperlink" Target="http://circulaire.legifrance.gouv.fr/pdf/2009/10/cir_29752.pdf" TargetMode="External"/><Relationship Id="rId18" Type="http://schemas.openxmlformats.org/officeDocument/2006/relationships/hyperlink" Target="http://www.fhp.fr/fichiers/20160115111240_instruction_SMUR_IIR.PDF" TargetMode="External"/><Relationship Id="rId3" Type="http://schemas.openxmlformats.org/officeDocument/2006/relationships/settings" Target="settings.xml"/><Relationship Id="rId21" Type="http://schemas.openxmlformats.org/officeDocument/2006/relationships/hyperlink" Target="http://www.fhp.fr" TargetMode="External"/><Relationship Id="rId7" Type="http://schemas.openxmlformats.org/officeDocument/2006/relationships/hyperlink" Target="http://www.legifrance.gouv.fr/affichCodeArticle.do;jsessionid=B8F03ED59B5B572B5979AA64A2E6CC7E.tpdjo13v_2?idArticle=LEGIARTI000006916768&amp;cidTexte=LEGITEXT000006072665&amp;dateTexte=20130613&amp;categorieLien=id" TargetMode="External"/><Relationship Id="rId12" Type="http://schemas.openxmlformats.org/officeDocument/2006/relationships/hyperlink" Target="http://circulaire.legifrance.gouv.fr/pdf/2013/04/cir_36777.pdf"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gregory.caumes@fhp.fr?subject=Pratiques%20de%20facturation%20inter-&#233;tablissement%20des%20transports%20SMUR%20secondaires" TargetMode="External"/><Relationship Id="rId20" Type="http://schemas.openxmlformats.org/officeDocument/2006/relationships/hyperlink" Target="mailto:gregory.caumes@fhp.fr?subject=Pratiques%20de%20facturation%20inter-&#233;tablissement%20des%20transports%20SMUR%20secondaires" TargetMode="External"/><Relationship Id="rId1" Type="http://schemas.openxmlformats.org/officeDocument/2006/relationships/numbering" Target="numbering.xml"/><Relationship Id="rId6" Type="http://schemas.openxmlformats.org/officeDocument/2006/relationships/hyperlink" Target="http://circulaire.legifrance.gouv.fr/pdf/2013/06/cir_37176.pdf" TargetMode="External"/><Relationship Id="rId11" Type="http://schemas.openxmlformats.org/officeDocument/2006/relationships/hyperlink" Target="http://www.legifrance.gouv.fr/affichCodeArticle.do;jsessionid=75DD073AF123307C63FDDB9756270E51.tpdila07v_3?idArticle=LEGIARTI000006919212&amp;cidTexte=LEGITEXT000006072665&amp;dateTexte=20090709&amp;categorieLien=id&amp;oldAction=rechCodeArticle&amp;nbResultRech=" TargetMode="External"/><Relationship Id="rId5" Type="http://schemas.openxmlformats.org/officeDocument/2006/relationships/image" Target="media/image1.jpeg"/><Relationship Id="rId15" Type="http://schemas.openxmlformats.org/officeDocument/2006/relationships/hyperlink" Target="http://www.legifrance.gouv.fr/affichCodeArticle.do;jsessionid=B8F03ED59B5B572B5979AA64A2E6CC7E.tpdjo13v_2?idArticle=LEGIARTI000006916768&amp;cidTexte=LEGITEXT000006072665&amp;dateTexte=20130613&amp;categorieLien=id" TargetMode="External"/><Relationship Id="rId23" Type="http://schemas.openxmlformats.org/officeDocument/2006/relationships/theme" Target="theme/theme1.xml"/><Relationship Id="rId10" Type="http://schemas.openxmlformats.org/officeDocument/2006/relationships/hyperlink" Target="http://www.legifrance.gouv.fr/affichCodeArticle.do;jsessionid=D8FD96D64A61DF444F4C06268B6DCC09.tpdjo04v_3?idArticle=LEGIARTI000024316787&amp;cidTexte=LEGITEXT000006072665&amp;dateTexte=20130927" TargetMode="External"/><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legifrance.gouv.fr/affichCodeArticle.do;jsessionid=B8F03ED59B5B572B5979AA64A2E6CC7E.tpdjo13v_2?idArticle=LEGIARTI000006916768&amp;cidTexte=LEGITEXT000006072665&amp;dateTexte=20130613&amp;categorieLien=id" TargetMode="External"/><Relationship Id="rId14" Type="http://schemas.openxmlformats.org/officeDocument/2006/relationships/hyperlink" Target="http://circulaire.legifrance.gouv.fr/pdf/2013/06/cir_37176.pdf"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1568</Words>
  <Characters>8629</Characters>
  <Application>Microsoft Office Word</Application>
  <DocSecurity>0</DocSecurity>
  <Lines>71</Lines>
  <Paragraphs>20</Paragraphs>
  <ScaleCrop>false</ScaleCrop>
  <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2016-01-19T14:22:00Z</dcterms:created>
  <dcterms:modified xsi:type="dcterms:W3CDTF">2016-01-19T14:24:00Z</dcterms:modified>
</cp:coreProperties>
</file>