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6C1B10" w:rsidTr="006C1B10">
        <w:trPr>
          <w:tblCellSpacing w:w="0" w:type="dxa"/>
          <w:jc w:val="center"/>
        </w:trPr>
        <w:tc>
          <w:tcPr>
            <w:tcW w:w="0" w:type="auto"/>
            <w:shd w:val="clear" w:color="auto" w:fill="FFFFFF"/>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6C1B10">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6C1B10">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6C1B10">
                          <w:trPr>
                            <w:tblCellSpacing w:w="0" w:type="dxa"/>
                          </w:trPr>
                          <w:tc>
                            <w:tcPr>
                              <w:tcW w:w="0" w:type="auto"/>
                              <w:tcMar>
                                <w:top w:w="450" w:type="dxa"/>
                                <w:left w:w="450" w:type="dxa"/>
                                <w:bottom w:w="450" w:type="dxa"/>
                                <w:right w:w="450" w:type="dxa"/>
                              </w:tcMar>
                            </w:tcPr>
                            <w:p w:rsidR="006C1B10" w:rsidRDefault="006C1B10">
                              <w:pPr>
                                <w:pStyle w:val="NormalWeb"/>
                                <w:jc w:val="center"/>
                                <w:rPr>
                                  <w:rFonts w:ascii="Arial" w:hAnsi="Arial" w:cs="Arial"/>
                                  <w:color w:val="15406C"/>
                                  <w:sz w:val="18"/>
                                  <w:szCs w:val="18"/>
                                </w:rPr>
                              </w:pPr>
                              <w:r>
                                <w:rPr>
                                  <w:rFonts w:ascii="Arial" w:hAnsi="Arial" w:cs="Arial"/>
                                  <w:color w:val="999999"/>
                                  <w:sz w:val="17"/>
                                  <w:szCs w:val="17"/>
                                </w:rPr>
                                <w:t xml:space="preserve">Flash Info FHP </w:t>
                              </w:r>
                            </w:p>
                            <w:p w:rsidR="006C1B10" w:rsidRDefault="006C1B10">
                              <w:pPr>
                                <w:pStyle w:val="NormalWeb"/>
                                <w:jc w:val="center"/>
                                <w:rPr>
                                  <w:rStyle w:val="Lienhypertexte"/>
                                  <w:color w:val="3E21FF"/>
                                </w:rPr>
                              </w:pPr>
                              <w:hyperlink r:id="rId5" w:history="1">
                                <w:r>
                                  <w:rPr>
                                    <w:rStyle w:val="Lienhypertexte"/>
                                    <w:rFonts w:ascii="Arial" w:hAnsi="Arial" w:cs="Arial"/>
                                    <w:color w:val="999999"/>
                                    <w:sz w:val="17"/>
                                    <w:szCs w:val="17"/>
                                  </w:rPr>
                                  <w:t>Lire l'email dans votre navigateur.</w:t>
                                </w:r>
                                <w:r>
                                  <w:rPr>
                                    <w:rStyle w:val="Lienhypertexte"/>
                                    <w:rFonts w:ascii="Arial" w:hAnsi="Arial" w:cs="Arial"/>
                                    <w:color w:val="3E21FF"/>
                                    <w:sz w:val="18"/>
                                    <w:szCs w:val="18"/>
                                  </w:rPr>
                                  <w:t xml:space="preserve"> </w:t>
                                </w:r>
                              </w:hyperlink>
                            </w:p>
                            <w:p w:rsidR="006C1B10" w:rsidRDefault="006C1B10">
                              <w:pPr>
                                <w:pStyle w:val="NormalWeb"/>
                                <w:rPr>
                                  <w:color w:val="15406C"/>
                                </w:rPr>
                              </w:pPr>
                            </w:p>
                          </w:tc>
                        </w:tr>
                      </w:tbl>
                      <w:p w:rsidR="006C1B10" w:rsidRDefault="006C1B10">
                        <w:pPr>
                          <w:rPr>
                            <w:rFonts w:eastAsia="Times New Roman"/>
                            <w:sz w:val="20"/>
                            <w:szCs w:val="20"/>
                          </w:rPr>
                        </w:pPr>
                      </w:p>
                    </w:tc>
                  </w:tr>
                </w:tbl>
                <w:p w:rsidR="006C1B10" w:rsidRDefault="006C1B10">
                  <w:pPr>
                    <w:rPr>
                      <w:rFonts w:eastAsia="Times New Roman"/>
                      <w:sz w:val="20"/>
                      <w:szCs w:val="20"/>
                    </w:rPr>
                  </w:pPr>
                </w:p>
              </w:tc>
            </w:tr>
            <w:tr w:rsidR="006C1B10">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9750"/>
                  </w:tblGrid>
                  <w:tr w:rsidR="006C1B10">
                    <w:trPr>
                      <w:tblCellSpacing w:w="0" w:type="dxa"/>
                      <w:jc w:val="center"/>
                    </w:trPr>
                    <w:tc>
                      <w:tcPr>
                        <w:tcW w:w="0" w:type="auto"/>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6C1B10">
                          <w:trPr>
                            <w:tblCellSpacing w:w="0" w:type="dxa"/>
                            <w:jc w:val="center"/>
                          </w:trPr>
                          <w:tc>
                            <w:tcPr>
                              <w:tcW w:w="0" w:type="auto"/>
                              <w:hideMark/>
                            </w:tcPr>
                            <w:p w:rsidR="006C1B10" w:rsidRDefault="006C1B10">
                              <w:pPr>
                                <w:jc w:val="center"/>
                                <w:rPr>
                                  <w:rFonts w:eastAsia="Times New Roman"/>
                                </w:rPr>
                              </w:pPr>
                              <w:r>
                                <w:rPr>
                                  <w:rFonts w:eastAsia="Times New Roman"/>
                                  <w:noProof/>
                                </w:rPr>
                                <w:drawing>
                                  <wp:inline distT="0" distB="0" distL="0" distR="0">
                                    <wp:extent cx="6191250" cy="1838325"/>
                                    <wp:effectExtent l="0" t="0" r="0" b="9525"/>
                                    <wp:docPr id="3" name="Image 3" descr="http://img.news.fhp.fr/66842/aUvXmw30p0Co_3LZlyrbww/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usIFEAGvHEsFFsJtGrIwrCEHtJJEJ" descr="http://img.news.fhp.fr/66842/aUvXmw30p0Co_3LZlyrbww/image_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1838325"/>
                                            </a:xfrm>
                                            <a:prstGeom prst="rect">
                                              <a:avLst/>
                                            </a:prstGeom>
                                            <a:noFill/>
                                            <a:ln>
                                              <a:noFill/>
                                            </a:ln>
                                          </pic:spPr>
                                        </pic:pic>
                                      </a:graphicData>
                                    </a:graphic>
                                  </wp:inline>
                                </w:drawing>
                              </w:r>
                            </w:p>
                          </w:tc>
                        </w:tr>
                      </w:tbl>
                      <w:p w:rsidR="006C1B10" w:rsidRDefault="006C1B10">
                        <w:pPr>
                          <w:jc w:val="center"/>
                          <w:rPr>
                            <w:rFonts w:eastAsia="Times New Roman"/>
                            <w:sz w:val="20"/>
                            <w:szCs w:val="20"/>
                          </w:rPr>
                        </w:pPr>
                      </w:p>
                    </w:tc>
                  </w:tr>
                </w:tbl>
                <w:p w:rsidR="006C1B10" w:rsidRDefault="006C1B10">
                  <w:pPr>
                    <w:jc w:val="center"/>
                    <w:rPr>
                      <w:rFonts w:eastAsia="Times New Roman"/>
                      <w:sz w:val="20"/>
                      <w:szCs w:val="20"/>
                    </w:rPr>
                  </w:pPr>
                </w:p>
              </w:tc>
            </w:tr>
          </w:tbl>
          <w:p w:rsidR="006C1B10" w:rsidRDefault="006C1B10">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6C1B10">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6C1B10">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6C1B10">
                          <w:trPr>
                            <w:tblCellSpacing w:w="0" w:type="dxa"/>
                          </w:trPr>
                          <w:tc>
                            <w:tcPr>
                              <w:tcW w:w="0" w:type="auto"/>
                              <w:hideMark/>
                            </w:tcPr>
                            <w:p w:rsidR="006C1B10" w:rsidRDefault="006C1B10">
                              <w:pPr>
                                <w:rPr>
                                  <w:rFonts w:ascii="Arial" w:eastAsia="Times New Roman" w:hAnsi="Arial" w:cs="Arial"/>
                                  <w:color w:val="15406C"/>
                                  <w:sz w:val="18"/>
                                  <w:szCs w:val="18"/>
                                </w:rPr>
                              </w:pPr>
                              <w:r>
                                <w:rPr>
                                  <w:rStyle w:val="lev"/>
                                  <w:rFonts w:ascii="Arial" w:eastAsia="Times New Roman" w:hAnsi="Arial" w:cs="Arial"/>
                                  <w:color w:val="15406C"/>
                                  <w:sz w:val="18"/>
                                  <w:szCs w:val="18"/>
                                </w:rPr>
                                <w:t>Mardi 19 février 2019</w:t>
                              </w:r>
                              <w:r>
                                <w:rPr>
                                  <w:rFonts w:ascii="Arial" w:eastAsia="Times New Roman" w:hAnsi="Arial" w:cs="Arial"/>
                                  <w:color w:val="15406C"/>
                                  <w:sz w:val="18"/>
                                  <w:szCs w:val="18"/>
                                </w:rPr>
                                <w:br/>
                                <w:t>Réf : 063-2019</w:t>
                              </w:r>
                              <w:r>
                                <w:rPr>
                                  <w:rFonts w:ascii="Arial" w:eastAsia="Times New Roman" w:hAnsi="Arial" w:cs="Arial"/>
                                  <w:color w:val="15406C"/>
                                  <w:sz w:val="18"/>
                                  <w:szCs w:val="18"/>
                                </w:rPr>
                                <w:br/>
                                <w:t> </w:t>
                              </w:r>
                              <w:r>
                                <w:rPr>
                                  <w:rFonts w:ascii="Arial" w:eastAsia="Times New Roman" w:hAnsi="Arial" w:cs="Arial"/>
                                  <w:color w:val="15406C"/>
                                  <w:sz w:val="18"/>
                                  <w:szCs w:val="18"/>
                                </w:rPr>
                                <w:br/>
                              </w:r>
                              <w:r>
                                <w:rPr>
                                  <w:rStyle w:val="lev"/>
                                  <w:rFonts w:ascii="Arial" w:eastAsia="Times New Roman" w:hAnsi="Arial" w:cs="Arial"/>
                                  <w:color w:val="00AFED"/>
                                  <w:sz w:val="21"/>
                                  <w:szCs w:val="21"/>
                                </w:rPr>
                                <w:t>Informations SI</w:t>
                              </w:r>
                            </w:p>
                          </w:tc>
                        </w:tr>
                      </w:tbl>
                      <w:p w:rsidR="006C1B10" w:rsidRDefault="006C1B10">
                        <w:pPr>
                          <w:rPr>
                            <w:rFonts w:eastAsia="Times New Roman"/>
                            <w:sz w:val="20"/>
                            <w:szCs w:val="20"/>
                          </w:rPr>
                        </w:pPr>
                      </w:p>
                    </w:tc>
                  </w:tr>
                </w:tbl>
                <w:p w:rsidR="006C1B10" w:rsidRDefault="006C1B10">
                  <w:pPr>
                    <w:rPr>
                      <w:rFonts w:eastAsia="Times New Roman"/>
                      <w:sz w:val="20"/>
                      <w:szCs w:val="20"/>
                    </w:rPr>
                  </w:pPr>
                </w:p>
              </w:tc>
            </w:tr>
            <w:tr w:rsidR="006C1B10">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6C1B10">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6C1B10">
                          <w:trPr>
                            <w:tblCellSpacing w:w="0" w:type="dxa"/>
                          </w:trPr>
                          <w:tc>
                            <w:tcPr>
                              <w:tcW w:w="0" w:type="auto"/>
                              <w:tcMar>
                                <w:top w:w="450" w:type="dxa"/>
                                <w:left w:w="450" w:type="dxa"/>
                                <w:bottom w:w="450" w:type="dxa"/>
                                <w:right w:w="450" w:type="dxa"/>
                              </w:tcMar>
                              <w:hideMark/>
                            </w:tcPr>
                            <w:p w:rsidR="006C1B10" w:rsidRDefault="006C1B10">
                              <w:pPr>
                                <w:pStyle w:val="NormalWeb"/>
                                <w:jc w:val="center"/>
                                <w:rPr>
                                  <w:rFonts w:ascii="Arial" w:hAnsi="Arial" w:cs="Arial"/>
                                  <w:color w:val="15406C"/>
                                  <w:sz w:val="18"/>
                                  <w:szCs w:val="18"/>
                                </w:rPr>
                              </w:pPr>
                              <w:r>
                                <w:rPr>
                                  <w:rStyle w:val="lev"/>
                                  <w:rFonts w:ascii="Arial" w:hAnsi="Arial" w:cs="Arial"/>
                                  <w:color w:val="008000"/>
                                  <w:sz w:val="39"/>
                                  <w:szCs w:val="39"/>
                                </w:rPr>
                                <w:t>LANCEMENT OFFICIEL DU PROGRAMME HOP'EN</w:t>
                              </w:r>
                            </w:p>
                          </w:tc>
                        </w:tr>
                      </w:tbl>
                      <w:p w:rsidR="006C1B10" w:rsidRDefault="006C1B10">
                        <w:pPr>
                          <w:rPr>
                            <w:rFonts w:eastAsia="Times New Roman"/>
                            <w:sz w:val="20"/>
                            <w:szCs w:val="20"/>
                          </w:rPr>
                        </w:pPr>
                      </w:p>
                    </w:tc>
                  </w:tr>
                </w:tbl>
                <w:p w:rsidR="006C1B10" w:rsidRDefault="006C1B10">
                  <w:pPr>
                    <w:rPr>
                      <w:rFonts w:eastAsia="Times New Roman"/>
                      <w:sz w:val="20"/>
                      <w:szCs w:val="20"/>
                    </w:rPr>
                  </w:pPr>
                </w:p>
              </w:tc>
            </w:tr>
          </w:tbl>
          <w:p w:rsidR="006C1B10" w:rsidRDefault="006C1B10">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6C1B10">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6C1B10">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6C1B10">
                          <w:trPr>
                            <w:tblCellSpacing w:w="0" w:type="dxa"/>
                          </w:trPr>
                          <w:tc>
                            <w:tcPr>
                              <w:tcW w:w="0" w:type="auto"/>
                              <w:hideMark/>
                            </w:tcPr>
                            <w:p w:rsidR="006C1B10" w:rsidRDefault="006C1B10">
                              <w:pPr>
                                <w:jc w:val="center"/>
                                <w:rPr>
                                  <w:rStyle w:val="lev"/>
                                  <w:rFonts w:ascii="Arial" w:hAnsi="Arial" w:cs="Arial"/>
                                  <w:color w:val="15406C"/>
                                  <w:sz w:val="27"/>
                                  <w:szCs w:val="27"/>
                                </w:rPr>
                              </w:pPr>
                              <w:r>
                                <w:rPr>
                                  <w:rStyle w:val="lev"/>
                                  <w:rFonts w:ascii="Arial" w:eastAsia="Times New Roman" w:hAnsi="Arial" w:cs="Arial"/>
                                  <w:color w:val="15406C"/>
                                  <w:sz w:val="27"/>
                                  <w:szCs w:val="27"/>
                                </w:rPr>
                                <w:pict>
                                  <v:rect id="_x0000_i1057" style="width:453.6pt;height:1.5pt" o:hralign="center" o:hrstd="t" o:hr="t" fillcolor="#a0a0a0" stroked="f"/>
                                </w:pict>
                              </w:r>
                            </w:p>
                            <w:p w:rsidR="006C1B10" w:rsidRDefault="006C1B10">
                              <w:pPr>
                                <w:rPr>
                                  <w:sz w:val="18"/>
                                  <w:szCs w:val="18"/>
                                </w:rPr>
                              </w:pPr>
                              <w:r>
                                <w:rPr>
                                  <w:rStyle w:val="lev"/>
                                  <w:rFonts w:ascii="Arial" w:eastAsia="Times New Roman" w:hAnsi="Arial" w:cs="Arial"/>
                                  <w:color w:val="15406C"/>
                                  <w:sz w:val="27"/>
                                  <w:szCs w:val="27"/>
                                </w:rPr>
                                <w:t xml:space="preserve">L'essentiel à retenir : </w:t>
                              </w:r>
                              <w:r>
                                <w:rPr>
                                  <w:rFonts w:ascii="Arial" w:eastAsia="Times New Roman" w:hAnsi="Arial" w:cs="Arial"/>
                                  <w:color w:val="15406C"/>
                                  <w:sz w:val="18"/>
                                  <w:szCs w:val="18"/>
                                </w:rPr>
                                <w:br/>
                                <w:t> </w:t>
                              </w:r>
                            </w:p>
                            <w:p w:rsidR="006C1B10" w:rsidRDefault="006C1B10">
                              <w:pPr>
                                <w:numPr>
                                  <w:ilvl w:val="0"/>
                                  <w:numId w:val="1"/>
                                </w:numPr>
                                <w:spacing w:before="100" w:beforeAutospacing="1" w:after="100" w:afterAutospacing="1"/>
                                <w:rPr>
                                  <w:rFonts w:ascii="Arial" w:eastAsia="Times New Roman" w:hAnsi="Arial" w:cs="Arial"/>
                                  <w:color w:val="15406C"/>
                                  <w:sz w:val="18"/>
                                  <w:szCs w:val="18"/>
                                </w:rPr>
                              </w:pPr>
                              <w:r>
                                <w:rPr>
                                  <w:rStyle w:val="lev"/>
                                  <w:rFonts w:ascii="Arial" w:eastAsia="Times New Roman" w:hAnsi="Arial" w:cs="Arial"/>
                                  <w:color w:val="15406C"/>
                                  <w:sz w:val="27"/>
                                  <w:szCs w:val="27"/>
                                </w:rPr>
                                <w:t xml:space="preserve">Une enveloppe de 420 M€ </w:t>
                              </w:r>
                              <w:bookmarkStart w:id="0" w:name="_GoBack"/>
                              <w:bookmarkEnd w:id="0"/>
                              <w:r>
                                <w:rPr>
                                  <w:rStyle w:val="lev"/>
                                  <w:rFonts w:ascii="Arial" w:eastAsia="Times New Roman" w:hAnsi="Arial" w:cs="Arial"/>
                                  <w:color w:val="15406C"/>
                                  <w:sz w:val="27"/>
                                  <w:szCs w:val="27"/>
                                </w:rPr>
                                <w:t>pour faire suite au programme Hôpital Numérique ;</w:t>
                              </w:r>
                              <w:r>
                                <w:rPr>
                                  <w:rFonts w:ascii="Arial" w:eastAsia="Times New Roman" w:hAnsi="Arial" w:cs="Arial"/>
                                  <w:color w:val="15406C"/>
                                  <w:sz w:val="18"/>
                                  <w:szCs w:val="18"/>
                                </w:rPr>
                                <w:t xml:space="preserve"> </w:t>
                              </w:r>
                            </w:p>
                            <w:p w:rsidR="006C1B10" w:rsidRDefault="006C1B10">
                              <w:pPr>
                                <w:numPr>
                                  <w:ilvl w:val="0"/>
                                  <w:numId w:val="1"/>
                                </w:numPr>
                                <w:spacing w:before="100" w:beforeAutospacing="1" w:after="100" w:afterAutospacing="1"/>
                                <w:rPr>
                                  <w:rFonts w:ascii="Arial" w:eastAsia="Times New Roman" w:hAnsi="Arial" w:cs="Arial"/>
                                  <w:color w:val="15406C"/>
                                  <w:sz w:val="18"/>
                                  <w:szCs w:val="18"/>
                                </w:rPr>
                              </w:pPr>
                              <w:r>
                                <w:rPr>
                                  <w:rStyle w:val="lev"/>
                                  <w:rFonts w:ascii="Arial" w:eastAsia="Times New Roman" w:hAnsi="Arial" w:cs="Arial"/>
                                  <w:color w:val="15406C"/>
                                  <w:sz w:val="27"/>
                                  <w:szCs w:val="27"/>
                                </w:rPr>
                                <w:t>Nous vous conseillons de postuler dès que possible à l’appel à manifestation d’intérêt ;</w:t>
                              </w:r>
                              <w:r>
                                <w:rPr>
                                  <w:rFonts w:ascii="Arial" w:eastAsia="Times New Roman" w:hAnsi="Arial" w:cs="Arial"/>
                                  <w:color w:val="15406C"/>
                                  <w:sz w:val="18"/>
                                  <w:szCs w:val="18"/>
                                </w:rPr>
                                <w:t xml:space="preserve"> </w:t>
                              </w:r>
                            </w:p>
                            <w:p w:rsidR="006C1B10" w:rsidRDefault="006C1B10">
                              <w:pPr>
                                <w:numPr>
                                  <w:ilvl w:val="0"/>
                                  <w:numId w:val="1"/>
                                </w:numPr>
                                <w:spacing w:before="100" w:beforeAutospacing="1" w:after="100" w:afterAutospacing="1"/>
                                <w:rPr>
                                  <w:rFonts w:ascii="Arial" w:eastAsia="Times New Roman" w:hAnsi="Arial" w:cs="Arial"/>
                                  <w:color w:val="15406C"/>
                                  <w:sz w:val="18"/>
                                  <w:szCs w:val="18"/>
                                </w:rPr>
                              </w:pPr>
                              <w:r>
                                <w:rPr>
                                  <w:rStyle w:val="lev"/>
                                  <w:rFonts w:ascii="Arial" w:eastAsia="Times New Roman" w:hAnsi="Arial" w:cs="Arial"/>
                                  <w:color w:val="15406C"/>
                                  <w:sz w:val="27"/>
                                  <w:szCs w:val="27"/>
                                </w:rPr>
                                <w:t>Le financement à l’amorçage est possible dès 2019 / à l’usage dès début 2020.</w:t>
                              </w:r>
                            </w:p>
                            <w:p w:rsidR="006C1B10" w:rsidRDefault="006C1B10">
                              <w:pPr>
                                <w:rPr>
                                  <w:rFonts w:ascii="Arial" w:eastAsia="Times New Roman" w:hAnsi="Arial" w:cs="Arial"/>
                                  <w:color w:val="15406C"/>
                                  <w:sz w:val="18"/>
                                  <w:szCs w:val="18"/>
                                </w:rPr>
                              </w:pPr>
                              <w:r>
                                <w:rPr>
                                  <w:rFonts w:ascii="Arial" w:eastAsia="Times New Roman" w:hAnsi="Arial" w:cs="Arial"/>
                                  <w:color w:val="15406C"/>
                                  <w:sz w:val="18"/>
                                  <w:szCs w:val="18"/>
                                </w:rPr>
                                <w:t> </w:t>
                              </w:r>
                            </w:p>
                            <w:p w:rsidR="006C1B10" w:rsidRDefault="006C1B10">
                              <w:pPr>
                                <w:jc w:val="center"/>
                                <w:rPr>
                                  <w:rFonts w:ascii="Arial" w:eastAsia="Times New Roman" w:hAnsi="Arial" w:cs="Arial"/>
                                  <w:color w:val="15406C"/>
                                  <w:sz w:val="18"/>
                                  <w:szCs w:val="18"/>
                                </w:rPr>
                              </w:pPr>
                              <w:r>
                                <w:rPr>
                                  <w:rFonts w:ascii="Arial" w:eastAsia="Times New Roman" w:hAnsi="Arial" w:cs="Arial"/>
                                  <w:color w:val="15406C"/>
                                  <w:sz w:val="18"/>
                                  <w:szCs w:val="18"/>
                                </w:rPr>
                                <w:pict>
                                  <v:rect id="_x0000_i1058" style="width:453.6pt;height:1.5pt" o:hralign="center" o:hrstd="t" o:hr="t" fillcolor="#a0a0a0" stroked="f"/>
                                </w:pict>
                              </w:r>
                            </w:p>
                          </w:tc>
                        </w:tr>
                      </w:tbl>
                      <w:p w:rsidR="006C1B10" w:rsidRDefault="006C1B10">
                        <w:pPr>
                          <w:rPr>
                            <w:rFonts w:eastAsia="Times New Roman"/>
                            <w:sz w:val="20"/>
                            <w:szCs w:val="20"/>
                          </w:rPr>
                        </w:pPr>
                      </w:p>
                    </w:tc>
                  </w:tr>
                </w:tbl>
                <w:p w:rsidR="006C1B10" w:rsidRDefault="006C1B10">
                  <w:pPr>
                    <w:rPr>
                      <w:rFonts w:eastAsia="Times New Roman"/>
                      <w:sz w:val="20"/>
                      <w:szCs w:val="20"/>
                    </w:rPr>
                  </w:pPr>
                </w:p>
              </w:tc>
            </w:tr>
            <w:tr w:rsidR="006C1B10">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6C1B10">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6C1B10">
                          <w:trPr>
                            <w:tblCellSpacing w:w="0" w:type="dxa"/>
                          </w:trPr>
                          <w:tc>
                            <w:tcPr>
                              <w:tcW w:w="0" w:type="auto"/>
                              <w:tcMar>
                                <w:top w:w="120" w:type="dxa"/>
                                <w:left w:w="120" w:type="dxa"/>
                                <w:bottom w:w="120" w:type="dxa"/>
                                <w:right w:w="120" w:type="dxa"/>
                              </w:tcMar>
                              <w:hideMark/>
                            </w:tcPr>
                            <w:p w:rsidR="006C1B10" w:rsidRDefault="006C1B10">
                              <w:pPr>
                                <w:rPr>
                                  <w:rFonts w:ascii="Arial" w:eastAsia="Times New Roman" w:hAnsi="Arial" w:cs="Arial"/>
                                  <w:color w:val="15406C"/>
                                  <w:sz w:val="18"/>
                                  <w:szCs w:val="18"/>
                                </w:rPr>
                              </w:pPr>
                              <w:r>
                                <w:rPr>
                                  <w:rFonts w:ascii="Arial" w:eastAsia="Times New Roman" w:hAnsi="Arial" w:cs="Arial"/>
                                  <w:color w:val="15406C"/>
                                  <w:sz w:val="18"/>
                                  <w:szCs w:val="18"/>
                                </w:rPr>
                                <w:t> </w:t>
                              </w:r>
                            </w:p>
                          </w:tc>
                        </w:tr>
                      </w:tbl>
                      <w:p w:rsidR="006C1B10" w:rsidRDefault="006C1B10">
                        <w:pPr>
                          <w:rPr>
                            <w:rFonts w:eastAsia="Times New Roman"/>
                            <w:sz w:val="20"/>
                            <w:szCs w:val="20"/>
                          </w:rPr>
                        </w:pPr>
                      </w:p>
                    </w:tc>
                  </w:tr>
                </w:tbl>
                <w:p w:rsidR="006C1B10" w:rsidRDefault="006C1B10">
                  <w:pPr>
                    <w:rPr>
                      <w:rFonts w:eastAsia="Times New Roman"/>
                      <w:sz w:val="20"/>
                      <w:szCs w:val="20"/>
                    </w:rPr>
                  </w:pPr>
                </w:p>
              </w:tc>
            </w:tr>
          </w:tbl>
          <w:p w:rsidR="006C1B10" w:rsidRDefault="006C1B10">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6C1B10">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6C1B10">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6C1B10">
                          <w:trPr>
                            <w:tblCellSpacing w:w="0" w:type="dxa"/>
                          </w:trPr>
                          <w:tc>
                            <w:tcPr>
                              <w:tcW w:w="0" w:type="auto"/>
                              <w:hideMark/>
                            </w:tcPr>
                            <w:p w:rsidR="006C1B10" w:rsidRDefault="006C1B10">
                              <w:pPr>
                                <w:pStyle w:val="NormalWeb"/>
                                <w:jc w:val="both"/>
                                <w:rPr>
                                  <w:rFonts w:ascii="Arial" w:hAnsi="Arial" w:cs="Arial"/>
                                  <w:color w:val="15406C"/>
                                  <w:sz w:val="18"/>
                                  <w:szCs w:val="18"/>
                                </w:rPr>
                              </w:pPr>
                              <w:r>
                                <w:rPr>
                                  <w:rFonts w:ascii="Arial" w:hAnsi="Arial" w:cs="Arial"/>
                                  <w:color w:val="15406C"/>
                                  <w:sz w:val="21"/>
                                  <w:szCs w:val="21"/>
                                </w:rPr>
                                <w:t xml:space="preserve">Chère Adhérente, Cher Adhérent,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w:t>
                              </w:r>
                            </w:p>
                            <w:p w:rsidR="006C1B10" w:rsidRDefault="006C1B10">
                              <w:pPr>
                                <w:pStyle w:val="NormalWeb"/>
                                <w:jc w:val="both"/>
                                <w:rPr>
                                  <w:rFonts w:ascii="Arial" w:hAnsi="Arial" w:cs="Arial"/>
                                  <w:color w:val="15406C"/>
                                  <w:sz w:val="18"/>
                                  <w:szCs w:val="18"/>
                                </w:rPr>
                              </w:pPr>
                              <w:hyperlink r:id="rId7" w:history="1">
                                <w:r>
                                  <w:rPr>
                                    <w:rStyle w:val="Lienhypertexte"/>
                                    <w:rFonts w:ascii="Arial" w:hAnsi="Arial" w:cs="Arial"/>
                                    <w:color w:val="3E21FF"/>
                                    <w:sz w:val="21"/>
                                    <w:szCs w:val="21"/>
                                  </w:rPr>
                                  <w:t>L’instruction signalant le lancement du programme HOP’EN</w:t>
                                </w:r>
                              </w:hyperlink>
                              <w:r>
                                <w:rPr>
                                  <w:rFonts w:ascii="Arial" w:hAnsi="Arial" w:cs="Arial"/>
                                  <w:color w:val="15406C"/>
                                  <w:sz w:val="21"/>
                                  <w:szCs w:val="21"/>
                                </w:rPr>
                                <w:t xml:space="preserve"> </w:t>
                              </w:r>
                              <w:r>
                                <w:rPr>
                                  <w:rStyle w:val="lev"/>
                                  <w:rFonts w:ascii="Arial" w:hAnsi="Arial" w:cs="Arial"/>
                                  <w:color w:val="15406C"/>
                                  <w:sz w:val="21"/>
                                  <w:szCs w:val="21"/>
                                </w:rPr>
                                <w:t>(pour « Hôpital numérique ouvert sur son environnement ») a été publiée hier (18/02/2019)</w:t>
                              </w:r>
                              <w:r>
                                <w:rPr>
                                  <w:rFonts w:ascii="Arial" w:hAnsi="Arial" w:cs="Arial"/>
                                  <w:color w:val="15406C"/>
                                  <w:sz w:val="21"/>
                                  <w:szCs w:val="21"/>
                                </w:rPr>
                                <w:t xml:space="preserve">. HOP’EN fait suite au programme Hôpital Numérique, son prédécesseur de 2012 à 2018.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w:t>
                              </w:r>
                            </w:p>
                            <w:p w:rsidR="006C1B10" w:rsidRDefault="006C1B10">
                              <w:pPr>
                                <w:pStyle w:val="NormalWeb"/>
                                <w:jc w:val="both"/>
                                <w:rPr>
                                  <w:rFonts w:ascii="Arial" w:hAnsi="Arial" w:cs="Arial"/>
                                  <w:color w:val="15406C"/>
                                  <w:sz w:val="18"/>
                                  <w:szCs w:val="18"/>
                                </w:rPr>
                              </w:pPr>
                              <w:r>
                                <w:rPr>
                                  <w:rStyle w:val="lev"/>
                                  <w:rFonts w:ascii="Arial" w:hAnsi="Arial" w:cs="Arial"/>
                                  <w:color w:val="15406C"/>
                                  <w:sz w:val="21"/>
                                  <w:szCs w:val="21"/>
                                </w:rPr>
                                <w:t>Le nouveau programme dispose d’une enveloppe totale de 420 M€, qui sera distribuée du 2nd semestre 2019 à 2023 aux établissements ayant répondu à ses exigences</w:t>
                              </w:r>
                              <w:r>
                                <w:rPr>
                                  <w:rFonts w:ascii="Arial" w:hAnsi="Arial" w:cs="Arial"/>
                                  <w:color w:val="15406C"/>
                                  <w:sz w:val="21"/>
                                  <w:szCs w:val="21"/>
                                </w:rPr>
                                <w:t>. 20 % de l’enveloppe est dédiée à l’atteinte des prérequis – ou amorçage (84 M€), tandis que 80 % est réservée à l’atteinte des domaines d’usage (336 M€), La répartition régionale est présentée en page 1 de l’annexe 2 de l’instruction (la répartition 20/80 est également valable dans toutes les régions).</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Les principales nouveautés en comparaison avec Hôpital Numérique sont :</w:t>
                              </w:r>
                            </w:p>
                            <w:p w:rsidR="006C1B10" w:rsidRDefault="006C1B10">
                              <w:pPr>
                                <w:numPr>
                                  <w:ilvl w:val="0"/>
                                  <w:numId w:val="2"/>
                                </w:numPr>
                                <w:spacing w:before="100" w:beforeAutospacing="1" w:after="100" w:afterAutospacing="1"/>
                                <w:rPr>
                                  <w:rFonts w:ascii="Arial" w:eastAsia="Times New Roman" w:hAnsi="Arial" w:cs="Arial"/>
                                  <w:color w:val="15406C"/>
                                  <w:sz w:val="18"/>
                                  <w:szCs w:val="18"/>
                                </w:rPr>
                              </w:pPr>
                              <w:r>
                                <w:rPr>
                                  <w:rStyle w:val="lev"/>
                                  <w:rFonts w:ascii="Arial" w:eastAsia="Times New Roman" w:hAnsi="Arial" w:cs="Arial"/>
                                  <w:color w:val="15406C"/>
                                  <w:sz w:val="21"/>
                                  <w:szCs w:val="21"/>
                                </w:rPr>
                                <w:t>Une phase d’appel à manifestation d’intérêt (AMI)</w:t>
                              </w:r>
                              <w:r>
                                <w:rPr>
                                  <w:rFonts w:ascii="Arial" w:eastAsia="Times New Roman" w:hAnsi="Arial" w:cs="Arial"/>
                                  <w:color w:val="15406C"/>
                                  <w:sz w:val="21"/>
                                  <w:szCs w:val="21"/>
                                </w:rPr>
                                <w:t xml:space="preserve"> qui réserve 30 % de l’amorçage en 2019 et en 2020 à des établissements qui remplissent les prérequis d’Hôpital Numérique, et qui s’engagent à remplir ceux du programme HOP’EN avant le 1er janvier 2021 ;</w:t>
                              </w:r>
                            </w:p>
                            <w:p w:rsidR="006C1B10" w:rsidRDefault="006C1B10">
                              <w:pPr>
                                <w:numPr>
                                  <w:ilvl w:val="0"/>
                                  <w:numId w:val="2"/>
                                </w:numPr>
                                <w:spacing w:before="100" w:beforeAutospacing="1" w:after="100" w:afterAutospacing="1"/>
                                <w:rPr>
                                  <w:rFonts w:ascii="Arial" w:eastAsia="Times New Roman" w:hAnsi="Arial" w:cs="Arial"/>
                                  <w:color w:val="15406C"/>
                                  <w:sz w:val="18"/>
                                  <w:szCs w:val="18"/>
                                </w:rPr>
                              </w:pPr>
                              <w:r>
                                <w:rPr>
                                  <w:rStyle w:val="lev"/>
                                  <w:rFonts w:ascii="Arial" w:eastAsia="Times New Roman" w:hAnsi="Arial" w:cs="Arial"/>
                                  <w:color w:val="15406C"/>
                                  <w:sz w:val="21"/>
                                  <w:szCs w:val="21"/>
                                </w:rPr>
                                <w:t>Un relèvement des exigences pour les prérequis</w:t>
                              </w:r>
                              <w:r>
                                <w:rPr>
                                  <w:rFonts w:ascii="Arial" w:eastAsia="Times New Roman" w:hAnsi="Arial" w:cs="Arial"/>
                                  <w:color w:val="15406C"/>
                                  <w:sz w:val="21"/>
                                  <w:szCs w:val="21"/>
                                </w:rPr>
                                <w:t xml:space="preserve"> ;</w:t>
                              </w:r>
                            </w:p>
                            <w:p w:rsidR="006C1B10" w:rsidRDefault="006C1B10">
                              <w:pPr>
                                <w:numPr>
                                  <w:ilvl w:val="0"/>
                                  <w:numId w:val="2"/>
                                </w:numPr>
                                <w:spacing w:before="100" w:beforeAutospacing="1" w:after="100" w:afterAutospacing="1"/>
                                <w:rPr>
                                  <w:rFonts w:ascii="Arial" w:eastAsia="Times New Roman" w:hAnsi="Arial" w:cs="Arial"/>
                                  <w:color w:val="15406C"/>
                                  <w:sz w:val="18"/>
                                  <w:szCs w:val="18"/>
                                </w:rPr>
                              </w:pPr>
                              <w:r>
                                <w:rPr>
                                  <w:rStyle w:val="lev"/>
                                  <w:rFonts w:ascii="Arial" w:eastAsia="Times New Roman" w:hAnsi="Arial" w:cs="Arial"/>
                                  <w:color w:val="15406C"/>
                                  <w:sz w:val="21"/>
                                  <w:szCs w:val="21"/>
                                </w:rPr>
                                <w:t>Deux nouveaux domaines</w:t>
                              </w:r>
                              <w:r>
                                <w:rPr>
                                  <w:rFonts w:ascii="Arial" w:eastAsia="Times New Roman" w:hAnsi="Arial" w:cs="Arial"/>
                                  <w:color w:val="15406C"/>
                                  <w:sz w:val="21"/>
                                  <w:szCs w:val="21"/>
                                </w:rPr>
                                <w:t>, D6 et D7, qui visent à développer les liens avec les autres acteurs du système de santé et les usagers. </w:t>
                              </w:r>
                            </w:p>
                            <w:p w:rsidR="006C1B10" w:rsidRDefault="006C1B10">
                              <w:pPr>
                                <w:pStyle w:val="NormalWeb"/>
                                <w:jc w:val="both"/>
                                <w:rPr>
                                  <w:rFonts w:ascii="Arial" w:hAnsi="Arial" w:cs="Arial"/>
                                  <w:color w:val="15406C"/>
                                  <w:sz w:val="18"/>
                                  <w:szCs w:val="18"/>
                                </w:rPr>
                              </w:pPr>
                              <w:r>
                                <w:rPr>
                                  <w:rStyle w:val="lev"/>
                                  <w:rFonts w:ascii="Arial" w:hAnsi="Arial" w:cs="Arial"/>
                                  <w:color w:val="008000"/>
                                  <w:sz w:val="27"/>
                                  <w:szCs w:val="27"/>
                                  <w:u w:val="single"/>
                                </w:rPr>
                                <w:t>Positionner son établissement sur la phase d’AMI</w:t>
                              </w:r>
                              <w:r>
                                <w:rPr>
                                  <w:rStyle w:val="lev"/>
                                  <w:rFonts w:ascii="Arial" w:hAnsi="Arial" w:cs="Arial"/>
                                  <w:color w:val="008000"/>
                                  <w:sz w:val="27"/>
                                  <w:szCs w:val="27"/>
                                </w:rPr>
                                <w:t xml:space="preserve"> </w:t>
                              </w:r>
                            </w:p>
                            <w:p w:rsidR="006C1B10" w:rsidRDefault="006C1B10">
                              <w:pPr>
                                <w:pStyle w:val="NormalWeb"/>
                                <w:jc w:val="both"/>
                                <w:rPr>
                                  <w:rFonts w:ascii="Arial" w:hAnsi="Arial" w:cs="Arial"/>
                                  <w:color w:val="15406C"/>
                                  <w:sz w:val="18"/>
                                  <w:szCs w:val="18"/>
                                </w:rPr>
                              </w:pPr>
                              <w:r>
                                <w:rPr>
                                  <w:rFonts w:ascii="Arial" w:hAnsi="Arial" w:cs="Arial"/>
                                  <w:color w:val="15406C"/>
                                  <w:sz w:val="18"/>
                                  <w:szCs w:val="18"/>
                                </w:rPr>
                                <w:t> </w:t>
                              </w:r>
                            </w:p>
                            <w:p w:rsidR="006C1B10" w:rsidRDefault="006C1B10">
                              <w:pPr>
                                <w:pStyle w:val="NormalWeb"/>
                                <w:jc w:val="both"/>
                                <w:rPr>
                                  <w:rFonts w:ascii="Arial" w:hAnsi="Arial" w:cs="Arial"/>
                                  <w:color w:val="15406C"/>
                                  <w:sz w:val="18"/>
                                  <w:szCs w:val="18"/>
                                </w:rPr>
                              </w:pPr>
                              <w:r>
                                <w:rPr>
                                  <w:rStyle w:val="lev"/>
                                  <w:rFonts w:ascii="Arial" w:hAnsi="Arial" w:cs="Arial"/>
                                  <w:color w:val="15406C"/>
                                  <w:sz w:val="21"/>
                                  <w:szCs w:val="21"/>
                                </w:rPr>
                                <w:t xml:space="preserve">La période pour candidater en AMI est ouverte depuis hier et elle est valable jusqu’au 30 juin 2019. </w:t>
                              </w:r>
                              <w:r>
                                <w:rPr>
                                  <w:rStyle w:val="lev"/>
                                  <w:rFonts w:ascii="Arial" w:hAnsi="Arial" w:cs="Arial"/>
                                  <w:color w:val="15406C"/>
                                  <w:sz w:val="21"/>
                                  <w:szCs w:val="21"/>
                                  <w:u w:val="single"/>
                                </w:rPr>
                                <w:t>Nous vous conseillons fortement d’y postuler</w:t>
                              </w:r>
                              <w:r>
                                <w:rPr>
                                  <w:rFonts w:ascii="Arial" w:hAnsi="Arial" w:cs="Arial"/>
                                  <w:color w:val="15406C"/>
                                  <w:sz w:val="21"/>
                                  <w:szCs w:val="21"/>
                                </w:rPr>
                                <w:t xml:space="preserve">. En effet, les ARS fonderont leur programmation pluriannuelle sur cette base et il convient de s’y intégrer (l’AMI peut consommer toute l’enveloppe régionale). Afin de postuler à un financement de l'amorçage en AMI, il faut de base avoir atteint les prérequis Hôpital Numérique (fait déclencheur) et ensuite atteindre les prérequis HOP’EN avant le 1er janvier 2021. </w:t>
                              </w:r>
                              <w:r>
                                <w:rPr>
                                  <w:rStyle w:val="lev"/>
                                  <w:rFonts w:ascii="Arial" w:hAnsi="Arial" w:cs="Arial"/>
                                  <w:color w:val="15406C"/>
                                  <w:sz w:val="21"/>
                                  <w:szCs w:val="21"/>
                                </w:rPr>
                                <w:t>Si la seconde étape n’est pas respectée, le montant devra être remboursé</w:t>
                              </w:r>
                              <w:r>
                                <w:rPr>
                                  <w:rFonts w:ascii="Arial" w:hAnsi="Arial" w:cs="Arial"/>
                                  <w:color w:val="15406C"/>
                                  <w:sz w:val="21"/>
                                  <w:szCs w:val="21"/>
                                </w:rPr>
                                <w:t xml:space="preserve">. </w:t>
                              </w:r>
                            </w:p>
                            <w:p w:rsidR="006C1B10" w:rsidRDefault="006C1B10">
                              <w:pPr>
                                <w:pStyle w:val="NormalWeb"/>
                                <w:jc w:val="both"/>
                                <w:rPr>
                                  <w:rFonts w:ascii="Arial" w:hAnsi="Arial" w:cs="Arial"/>
                                  <w:color w:val="15406C"/>
                                  <w:sz w:val="18"/>
                                  <w:szCs w:val="18"/>
                                </w:rPr>
                              </w:pPr>
                              <w:r>
                                <w:rPr>
                                  <w:rFonts w:ascii="Arial" w:hAnsi="Arial" w:cs="Arial"/>
                                  <w:color w:val="15406C"/>
                                  <w:sz w:val="18"/>
                                  <w:szCs w:val="18"/>
                                </w:rPr>
                                <w:t>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xml:space="preserve">Par le biais de l’AMI, 30 % de l’amorçage régional est réservé en 2019 et en 2020 aux établissements qui remplissent les prérequis Hôpital Numérique mais ne remplissent pas encore ceux du programme HOP’EN. Cette part peut être portée à 50 % si le nombre de dossiers en AMI ayant atteint les prérequis HOP’EN est jugé insuffisant. </w:t>
                              </w:r>
                            </w:p>
                            <w:p w:rsidR="006C1B10" w:rsidRDefault="006C1B10">
                              <w:pPr>
                                <w:pStyle w:val="NormalWeb"/>
                                <w:jc w:val="both"/>
                                <w:rPr>
                                  <w:rFonts w:ascii="Arial" w:hAnsi="Arial" w:cs="Arial"/>
                                  <w:color w:val="15406C"/>
                                  <w:sz w:val="18"/>
                                  <w:szCs w:val="18"/>
                                </w:rPr>
                              </w:pPr>
                              <w:r>
                                <w:rPr>
                                  <w:rFonts w:ascii="Arial" w:hAnsi="Arial" w:cs="Arial"/>
                                  <w:color w:val="15406C"/>
                                  <w:sz w:val="18"/>
                                  <w:szCs w:val="18"/>
                                </w:rPr>
                                <w:t> </w:t>
                              </w:r>
                            </w:p>
                            <w:p w:rsidR="006C1B10" w:rsidRDefault="006C1B10">
                              <w:pPr>
                                <w:pStyle w:val="NormalWeb"/>
                                <w:jc w:val="both"/>
                                <w:rPr>
                                  <w:rFonts w:ascii="Arial" w:hAnsi="Arial" w:cs="Arial"/>
                                  <w:color w:val="15406C"/>
                                  <w:sz w:val="18"/>
                                  <w:szCs w:val="18"/>
                                </w:rPr>
                              </w:pPr>
                              <w:r>
                                <w:rPr>
                                  <w:rStyle w:val="lev"/>
                                  <w:rFonts w:ascii="Arial" w:hAnsi="Arial" w:cs="Arial"/>
                                  <w:color w:val="15406C"/>
                                  <w:sz w:val="21"/>
                                  <w:szCs w:val="21"/>
                                </w:rPr>
                                <w:t xml:space="preserve">Aussi, nous vous conseillons de viser une atteinte rapide des prérequis HOP’EN (dès cette année) afin que la délégation régionale de financement soit régie par la performance des établissements, et non par d’autres critères. </w:t>
                              </w:r>
                              <w:r>
                                <w:rPr>
                                  <w:rStyle w:val="lev"/>
                                  <w:rFonts w:ascii="Arial" w:hAnsi="Arial" w:cs="Arial"/>
                                  <w:color w:val="15406C"/>
                                  <w:sz w:val="21"/>
                                  <w:szCs w:val="21"/>
                                  <w:u w:val="single"/>
                                </w:rPr>
                                <w:t>Ce point est particulièrement crucial au titre de l’année 2019</w:t>
                              </w:r>
                              <w:r>
                                <w:rPr>
                                  <w:rFonts w:ascii="Arial" w:hAnsi="Arial" w:cs="Arial"/>
                                  <w:color w:val="15406C"/>
                                  <w:sz w:val="21"/>
                                  <w:szCs w:val="21"/>
                                </w:rPr>
                                <w:t>.</w:t>
                              </w:r>
                            </w:p>
                            <w:p w:rsidR="006C1B10" w:rsidRDefault="006C1B10">
                              <w:pPr>
                                <w:pStyle w:val="NormalWeb"/>
                                <w:jc w:val="both"/>
                                <w:rPr>
                                  <w:rFonts w:ascii="Arial" w:hAnsi="Arial" w:cs="Arial"/>
                                  <w:color w:val="15406C"/>
                                  <w:sz w:val="18"/>
                                  <w:szCs w:val="18"/>
                                </w:rPr>
                              </w:pPr>
                              <w:r>
                                <w:rPr>
                                  <w:rFonts w:ascii="Arial" w:hAnsi="Arial" w:cs="Arial"/>
                                  <w:color w:val="15406C"/>
                                  <w:sz w:val="18"/>
                                  <w:szCs w:val="18"/>
                                </w:rPr>
                                <w:t>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xml:space="preserve">Depuis </w:t>
                              </w:r>
                              <w:hyperlink r:id="rId8" w:history="1">
                                <w:proofErr w:type="spellStart"/>
                                <w:r>
                                  <w:rPr>
                                    <w:rStyle w:val="Lienhypertexte"/>
                                    <w:rFonts w:ascii="Arial" w:hAnsi="Arial" w:cs="Arial"/>
                                    <w:color w:val="3E21FF"/>
                                    <w:sz w:val="21"/>
                                    <w:szCs w:val="21"/>
                                  </w:rPr>
                                  <w:t>oSIS</w:t>
                                </w:r>
                                <w:proofErr w:type="spellEnd"/>
                              </w:hyperlink>
                              <w:r>
                                <w:rPr>
                                  <w:rFonts w:ascii="Arial" w:hAnsi="Arial" w:cs="Arial"/>
                                  <w:color w:val="15406C"/>
                                  <w:sz w:val="21"/>
                                  <w:szCs w:val="21"/>
                                </w:rPr>
                                <w:t xml:space="preserve">, voici la marche à suivre pour pré-candidater en AMI : </w:t>
                              </w:r>
                            </w:p>
                            <w:p w:rsidR="006C1B10" w:rsidRDefault="006C1B10">
                              <w:pPr>
                                <w:numPr>
                                  <w:ilvl w:val="0"/>
                                  <w:numId w:val="3"/>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Indiquer si vous avez déjà atteint les prérequis Hôpital Numérique (ou, à défaut, quand vous pensez les atteindre) ;</w:t>
                              </w:r>
                            </w:p>
                            <w:p w:rsidR="006C1B10" w:rsidRDefault="006C1B10">
                              <w:pPr>
                                <w:numPr>
                                  <w:ilvl w:val="0"/>
                                  <w:numId w:val="3"/>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Indiquer quand vous pensez atteindre les prérequis HOP’EN ;</w:t>
                              </w:r>
                            </w:p>
                            <w:p w:rsidR="006C1B10" w:rsidRDefault="006C1B10">
                              <w:pPr>
                                <w:numPr>
                                  <w:ilvl w:val="0"/>
                                  <w:numId w:val="3"/>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Indiquer vos choix de domaines et quand vous pensez les atteindre. </w:t>
                              </w:r>
                            </w:p>
                            <w:p w:rsidR="006C1B10" w:rsidRDefault="006C1B10">
                              <w:pPr>
                                <w:pStyle w:val="NormalWeb"/>
                                <w:jc w:val="both"/>
                                <w:rPr>
                                  <w:rFonts w:ascii="Arial" w:hAnsi="Arial" w:cs="Arial"/>
                                  <w:color w:val="15406C"/>
                                  <w:sz w:val="18"/>
                                  <w:szCs w:val="18"/>
                                </w:rPr>
                              </w:pPr>
                              <w:r>
                                <w:rPr>
                                  <w:rStyle w:val="lev"/>
                                  <w:rFonts w:ascii="Arial" w:hAnsi="Arial" w:cs="Arial"/>
                                  <w:color w:val="15406C"/>
                                  <w:sz w:val="21"/>
                                  <w:szCs w:val="21"/>
                                </w:rPr>
                                <w:t xml:space="preserve">Si vous n’avez </w:t>
                              </w:r>
                              <w:r>
                                <w:rPr>
                                  <w:rStyle w:val="lev"/>
                                  <w:rFonts w:ascii="Arial" w:hAnsi="Arial" w:cs="Arial"/>
                                  <w:color w:val="15406C"/>
                                  <w:sz w:val="21"/>
                                  <w:szCs w:val="21"/>
                                  <w:u w:val="single"/>
                                </w:rPr>
                                <w:t>pas</w:t>
                              </w:r>
                              <w:r>
                                <w:rPr>
                                  <w:rStyle w:val="lev"/>
                                  <w:rFonts w:ascii="Arial" w:hAnsi="Arial" w:cs="Arial"/>
                                  <w:color w:val="15406C"/>
                                  <w:sz w:val="21"/>
                                  <w:szCs w:val="21"/>
                                </w:rPr>
                                <w:t xml:space="preserve"> atteint les prérequis Hôpital Numérique</w:t>
                              </w:r>
                              <w:r>
                                <w:rPr>
                                  <w:rFonts w:ascii="Arial" w:hAnsi="Arial" w:cs="Arial"/>
                                  <w:color w:val="15406C"/>
                                  <w:sz w:val="21"/>
                                  <w:szCs w:val="21"/>
                                </w:rPr>
                                <w:t>, nous vous conseillons de viser :</w:t>
                              </w:r>
                            </w:p>
                            <w:p w:rsidR="006C1B10" w:rsidRDefault="006C1B10">
                              <w:pPr>
                                <w:numPr>
                                  <w:ilvl w:val="0"/>
                                  <w:numId w:val="4"/>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Une atteinte des prérequis Hôpital Numérique avant le 31 juillet 2019 (sur </w:t>
                              </w:r>
                              <w:proofErr w:type="spellStart"/>
                              <w:r>
                                <w:rPr>
                                  <w:rFonts w:ascii="Arial" w:eastAsia="Times New Roman" w:hAnsi="Arial" w:cs="Arial"/>
                                  <w:color w:val="15406C"/>
                                  <w:sz w:val="21"/>
                                  <w:szCs w:val="21"/>
                                </w:rPr>
                                <w:t>oSIS</w:t>
                              </w:r>
                              <w:proofErr w:type="spellEnd"/>
                              <w:r>
                                <w:rPr>
                                  <w:rFonts w:ascii="Arial" w:eastAsia="Times New Roman" w:hAnsi="Arial" w:cs="Arial"/>
                                  <w:color w:val="15406C"/>
                                  <w:sz w:val="21"/>
                                  <w:szCs w:val="21"/>
                                </w:rPr>
                                <w:t xml:space="preserve"> : 1er ou 2ème semestre 2019) ;</w:t>
                              </w:r>
                            </w:p>
                            <w:p w:rsidR="006C1B10" w:rsidRDefault="006C1B10">
                              <w:pPr>
                                <w:numPr>
                                  <w:ilvl w:val="0"/>
                                  <w:numId w:val="4"/>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Une atteinte des prérequis HOP’EN avant le 31 décembre 2019 (sur </w:t>
                              </w:r>
                              <w:proofErr w:type="spellStart"/>
                              <w:r>
                                <w:rPr>
                                  <w:rFonts w:ascii="Arial" w:eastAsia="Times New Roman" w:hAnsi="Arial" w:cs="Arial"/>
                                  <w:color w:val="15406C"/>
                                  <w:sz w:val="21"/>
                                  <w:szCs w:val="21"/>
                                </w:rPr>
                                <w:t>oSIS</w:t>
                              </w:r>
                              <w:proofErr w:type="spellEnd"/>
                              <w:r>
                                <w:rPr>
                                  <w:rFonts w:ascii="Arial" w:eastAsia="Times New Roman" w:hAnsi="Arial" w:cs="Arial"/>
                                  <w:color w:val="15406C"/>
                                  <w:sz w:val="21"/>
                                  <w:szCs w:val="21"/>
                                </w:rPr>
                                <w:t xml:space="preserve"> : 2ème semestre 2019) ;</w:t>
                              </w:r>
                            </w:p>
                            <w:p w:rsidR="006C1B10" w:rsidRDefault="006C1B10">
                              <w:pPr>
                                <w:numPr>
                                  <w:ilvl w:val="0"/>
                                  <w:numId w:val="4"/>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Une atteinte des domaines sélectionnés avant le 30 septembre 2020 (sur </w:t>
                              </w:r>
                              <w:proofErr w:type="spellStart"/>
                              <w:r>
                                <w:rPr>
                                  <w:rFonts w:ascii="Arial" w:eastAsia="Times New Roman" w:hAnsi="Arial" w:cs="Arial"/>
                                  <w:color w:val="15406C"/>
                                  <w:sz w:val="21"/>
                                  <w:szCs w:val="21"/>
                                </w:rPr>
                                <w:t>oSIS</w:t>
                              </w:r>
                              <w:proofErr w:type="spellEnd"/>
                              <w:r>
                                <w:rPr>
                                  <w:rFonts w:ascii="Arial" w:eastAsia="Times New Roman" w:hAnsi="Arial" w:cs="Arial"/>
                                  <w:color w:val="15406C"/>
                                  <w:sz w:val="21"/>
                                  <w:szCs w:val="21"/>
                                </w:rPr>
                                <w:t xml:space="preserve"> : 1er ou 2ème semestre 2020).</w:t>
                              </w:r>
                            </w:p>
                            <w:p w:rsidR="006C1B10" w:rsidRDefault="006C1B10">
                              <w:pPr>
                                <w:pStyle w:val="NormalWeb"/>
                                <w:jc w:val="both"/>
                                <w:rPr>
                                  <w:rFonts w:ascii="Arial" w:hAnsi="Arial" w:cs="Arial"/>
                                  <w:color w:val="15406C"/>
                                  <w:sz w:val="18"/>
                                  <w:szCs w:val="18"/>
                                </w:rPr>
                              </w:pPr>
                              <w:r>
                                <w:rPr>
                                  <w:rStyle w:val="lev"/>
                                  <w:rFonts w:ascii="Arial" w:hAnsi="Arial" w:cs="Arial"/>
                                  <w:color w:val="15406C"/>
                                  <w:sz w:val="21"/>
                                  <w:szCs w:val="21"/>
                                </w:rPr>
                                <w:t>Si vous avez atteint les prérequis Hôpital Numérique</w:t>
                              </w:r>
                              <w:r>
                                <w:rPr>
                                  <w:rFonts w:ascii="Arial" w:hAnsi="Arial" w:cs="Arial"/>
                                  <w:color w:val="15406C"/>
                                  <w:sz w:val="21"/>
                                  <w:szCs w:val="21"/>
                                </w:rPr>
                                <w:t xml:space="preserve">, nous vous conseillons de viser : </w:t>
                              </w:r>
                            </w:p>
                            <w:p w:rsidR="006C1B10" w:rsidRDefault="006C1B10">
                              <w:pPr>
                                <w:numPr>
                                  <w:ilvl w:val="0"/>
                                  <w:numId w:val="5"/>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Une atteinte des prérequis HOP’EN avant le 30 septembre 2019 (sur </w:t>
                              </w:r>
                              <w:proofErr w:type="spellStart"/>
                              <w:r>
                                <w:rPr>
                                  <w:rFonts w:ascii="Arial" w:eastAsia="Times New Roman" w:hAnsi="Arial" w:cs="Arial"/>
                                  <w:color w:val="15406C"/>
                                  <w:sz w:val="21"/>
                                  <w:szCs w:val="21"/>
                                </w:rPr>
                                <w:t>oSIS</w:t>
                              </w:r>
                              <w:proofErr w:type="spellEnd"/>
                              <w:r>
                                <w:rPr>
                                  <w:rFonts w:ascii="Arial" w:eastAsia="Times New Roman" w:hAnsi="Arial" w:cs="Arial"/>
                                  <w:color w:val="15406C"/>
                                  <w:sz w:val="21"/>
                                  <w:szCs w:val="21"/>
                                </w:rPr>
                                <w:t xml:space="preserve"> : 1er ou 2ème semestre 2019) ;</w:t>
                              </w:r>
                            </w:p>
                            <w:p w:rsidR="006C1B10" w:rsidRDefault="006C1B10">
                              <w:pPr>
                                <w:numPr>
                                  <w:ilvl w:val="0"/>
                                  <w:numId w:val="5"/>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Une atteinte des domaines sélectionnés avant le 30 juin 2020 (sur </w:t>
                              </w:r>
                              <w:proofErr w:type="spellStart"/>
                              <w:r>
                                <w:rPr>
                                  <w:rFonts w:ascii="Arial" w:eastAsia="Times New Roman" w:hAnsi="Arial" w:cs="Arial"/>
                                  <w:color w:val="15406C"/>
                                  <w:sz w:val="21"/>
                                  <w:szCs w:val="21"/>
                                </w:rPr>
                                <w:t>oSIS</w:t>
                              </w:r>
                              <w:proofErr w:type="spellEnd"/>
                              <w:r>
                                <w:rPr>
                                  <w:rFonts w:ascii="Arial" w:eastAsia="Times New Roman" w:hAnsi="Arial" w:cs="Arial"/>
                                  <w:color w:val="15406C"/>
                                  <w:sz w:val="21"/>
                                  <w:szCs w:val="21"/>
                                </w:rPr>
                                <w:t xml:space="preserve"> : 1er semestre 2020). </w:t>
                              </w:r>
                            </w:p>
                            <w:p w:rsidR="006C1B10" w:rsidRDefault="006C1B10">
                              <w:pPr>
                                <w:pStyle w:val="NormalWeb"/>
                                <w:jc w:val="both"/>
                                <w:rPr>
                                  <w:rFonts w:ascii="Arial" w:hAnsi="Arial" w:cs="Arial"/>
                                  <w:color w:val="15406C"/>
                                  <w:sz w:val="18"/>
                                  <w:szCs w:val="18"/>
                                </w:rPr>
                              </w:pPr>
                              <w:r>
                                <w:rPr>
                                  <w:rStyle w:val="lev"/>
                                  <w:rFonts w:ascii="Arial" w:hAnsi="Arial" w:cs="Arial"/>
                                  <w:color w:val="15406C"/>
                                  <w:sz w:val="21"/>
                                  <w:szCs w:val="21"/>
                                </w:rPr>
                                <w:t>A noter que le financement à l’usage est uniquement versé une fois que les cibles associées ont été atteintes. Ce fonctionnement reste inchangé par rapport au programme Hôpital Numérique.</w:t>
                              </w:r>
                            </w:p>
                            <w:p w:rsidR="006C1B10" w:rsidRDefault="006C1B10">
                              <w:pPr>
                                <w:pStyle w:val="NormalWeb"/>
                                <w:jc w:val="both"/>
                                <w:rPr>
                                  <w:rFonts w:ascii="Arial" w:hAnsi="Arial" w:cs="Arial"/>
                                  <w:color w:val="15406C"/>
                                  <w:sz w:val="18"/>
                                  <w:szCs w:val="18"/>
                                </w:rPr>
                              </w:pPr>
                              <w:r>
                                <w:rPr>
                                  <w:rStyle w:val="lev"/>
                                  <w:rFonts w:ascii="Arial" w:hAnsi="Arial" w:cs="Arial"/>
                                  <w:color w:val="008000"/>
                                  <w:sz w:val="27"/>
                                  <w:szCs w:val="27"/>
                                  <w:u w:val="single"/>
                                </w:rPr>
                                <w:t>Quel financement peut obtenir votre établissement ?</w:t>
                              </w:r>
                              <w:r>
                                <w:rPr>
                                  <w:rFonts w:ascii="Arial" w:hAnsi="Arial" w:cs="Arial"/>
                                  <w:color w:val="15406C"/>
                                  <w:sz w:val="21"/>
                                  <w:szCs w:val="21"/>
                                </w:rPr>
                                <w:t xml:space="preserve">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Les montants exacts des soutiens financiers sont forfaitaires et sujets à deux critères :</w:t>
                              </w:r>
                            </w:p>
                            <w:p w:rsidR="006C1B10" w:rsidRDefault="006C1B10">
                              <w:pPr>
                                <w:numPr>
                                  <w:ilvl w:val="0"/>
                                  <w:numId w:val="6"/>
                                </w:numPr>
                                <w:spacing w:before="100" w:beforeAutospacing="1" w:after="100" w:afterAutospacing="1"/>
                                <w:rPr>
                                  <w:rFonts w:ascii="Arial" w:eastAsia="Times New Roman" w:hAnsi="Arial" w:cs="Arial"/>
                                  <w:color w:val="15406C"/>
                                  <w:sz w:val="18"/>
                                  <w:szCs w:val="18"/>
                                </w:rPr>
                              </w:pPr>
                              <w:r>
                                <w:rPr>
                                  <w:rStyle w:val="lev"/>
                                  <w:rFonts w:ascii="Arial" w:eastAsia="Times New Roman" w:hAnsi="Arial" w:cs="Arial"/>
                                  <w:color w:val="15406C"/>
                                  <w:sz w:val="21"/>
                                  <w:szCs w:val="21"/>
                                </w:rPr>
                                <w:t>Domaine d’usage sélectionné ;</w:t>
                              </w:r>
                            </w:p>
                            <w:p w:rsidR="006C1B10" w:rsidRDefault="006C1B10">
                              <w:pPr>
                                <w:numPr>
                                  <w:ilvl w:val="0"/>
                                  <w:numId w:val="6"/>
                                </w:numPr>
                                <w:spacing w:before="100" w:beforeAutospacing="1" w:after="100" w:afterAutospacing="1"/>
                                <w:rPr>
                                  <w:rFonts w:ascii="Arial" w:eastAsia="Times New Roman" w:hAnsi="Arial" w:cs="Arial"/>
                                  <w:color w:val="15406C"/>
                                  <w:sz w:val="18"/>
                                  <w:szCs w:val="18"/>
                                </w:rPr>
                              </w:pPr>
                              <w:r>
                                <w:rPr>
                                  <w:rStyle w:val="lev"/>
                                  <w:rFonts w:ascii="Arial" w:eastAsia="Times New Roman" w:hAnsi="Arial" w:cs="Arial"/>
                                  <w:color w:val="15406C"/>
                                  <w:sz w:val="21"/>
                                  <w:szCs w:val="21"/>
                                </w:rPr>
                                <w:t>Activité combinée de l’établissement.</w:t>
                              </w:r>
                              <w:r>
                                <w:rPr>
                                  <w:rFonts w:ascii="Arial" w:eastAsia="Times New Roman" w:hAnsi="Arial" w:cs="Arial"/>
                                  <w:color w:val="15406C"/>
                                  <w:sz w:val="21"/>
                                  <w:szCs w:val="21"/>
                                </w:rPr>
                                <w:t xml:space="preserve">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xml:space="preserve">Le tableau en page 2 de l’annexe 3 vous donnera une idée des montants auxquels peut prétendre votre établissement. Afin d’avoir une estimation plus précise, vous pouvez consulter la section « estimation du soutien financier » après avoir cliqué sur l’onglet HOP’EN dans </w:t>
                              </w:r>
                              <w:hyperlink r:id="rId9" w:history="1">
                                <w:proofErr w:type="spellStart"/>
                                <w:r>
                                  <w:rPr>
                                    <w:rStyle w:val="Lienhypertexte"/>
                                    <w:rFonts w:ascii="Arial" w:hAnsi="Arial" w:cs="Arial"/>
                                    <w:color w:val="3E21FF"/>
                                    <w:sz w:val="21"/>
                                    <w:szCs w:val="21"/>
                                  </w:rPr>
                                  <w:t>oSIS</w:t>
                                </w:r>
                                <w:proofErr w:type="spellEnd"/>
                              </w:hyperlink>
                              <w:r>
                                <w:rPr>
                                  <w:rFonts w:ascii="Arial" w:hAnsi="Arial" w:cs="Arial"/>
                                  <w:color w:val="15406C"/>
                                  <w:sz w:val="21"/>
                                  <w:szCs w:val="21"/>
                                </w:rPr>
                                <w:t xml:space="preserve">.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xml:space="preserve">A noter que les domaines D1 et D6 peuvent bénéficier d’un </w:t>
                              </w:r>
                              <w:r>
                                <w:rPr>
                                  <w:rStyle w:val="lev"/>
                                  <w:rFonts w:ascii="Arial" w:hAnsi="Arial" w:cs="Arial"/>
                                  <w:color w:val="15406C"/>
                                  <w:sz w:val="21"/>
                                  <w:szCs w:val="21"/>
                                </w:rPr>
                                <w:t>forfait avancé</w:t>
                              </w:r>
                              <w:r>
                                <w:rPr>
                                  <w:rFonts w:ascii="Arial" w:hAnsi="Arial" w:cs="Arial"/>
                                  <w:color w:val="15406C"/>
                                  <w:sz w:val="21"/>
                                  <w:szCs w:val="21"/>
                                </w:rPr>
                                <w:t xml:space="preserve"> de +20 % si votre établissement parvient à respecter des formats spécifiques (format structuré CDAR2 niveau 3 en D1 / lettre de liaison au format structuré en D6).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Pour toutes les spécialités, l’amorçage correspond à des fonds FMESPP. Concernant l’usage :</w:t>
                              </w:r>
                            </w:p>
                            <w:p w:rsidR="006C1B10" w:rsidRDefault="006C1B10">
                              <w:pPr>
                                <w:numPr>
                                  <w:ilvl w:val="0"/>
                                  <w:numId w:val="7"/>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Crédits AC en MCO ;</w:t>
                              </w:r>
                            </w:p>
                            <w:p w:rsidR="006C1B10" w:rsidRDefault="006C1B10">
                              <w:pPr>
                                <w:numPr>
                                  <w:ilvl w:val="0"/>
                                  <w:numId w:val="7"/>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Fonds FMESPP en SSR et en psychiatrie. </w:t>
                              </w:r>
                            </w:p>
                            <w:p w:rsidR="006C1B10" w:rsidRDefault="006C1B10">
                              <w:pPr>
                                <w:pStyle w:val="NormalWeb"/>
                                <w:jc w:val="both"/>
                                <w:rPr>
                                  <w:rFonts w:ascii="Arial" w:hAnsi="Arial" w:cs="Arial"/>
                                  <w:color w:val="15406C"/>
                                  <w:sz w:val="18"/>
                                  <w:szCs w:val="18"/>
                                </w:rPr>
                              </w:pPr>
                              <w:r>
                                <w:rPr>
                                  <w:rStyle w:val="lev"/>
                                  <w:rFonts w:ascii="Arial" w:hAnsi="Arial" w:cs="Arial"/>
                                  <w:color w:val="008000"/>
                                  <w:sz w:val="27"/>
                                  <w:szCs w:val="27"/>
                                  <w:u w:val="single"/>
                                </w:rPr>
                                <w:t>Calendrier de la phase d’AMI</w:t>
                              </w:r>
                            </w:p>
                            <w:p w:rsidR="006C1B10" w:rsidRDefault="006C1B10">
                              <w:pPr>
                                <w:numPr>
                                  <w:ilvl w:val="0"/>
                                  <w:numId w:val="8"/>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L’ARS officialise sa stratégie régionale au plus tard le </w:t>
                              </w:r>
                              <w:r>
                                <w:rPr>
                                  <w:rStyle w:val="lev"/>
                                  <w:rFonts w:ascii="Arial" w:eastAsia="Times New Roman" w:hAnsi="Arial" w:cs="Arial"/>
                                  <w:color w:val="15406C"/>
                                  <w:sz w:val="21"/>
                                  <w:szCs w:val="21"/>
                                </w:rPr>
                                <w:t>8 mars 2019</w:t>
                              </w:r>
                              <w:r>
                                <w:rPr>
                                  <w:rFonts w:ascii="Arial" w:eastAsia="Times New Roman" w:hAnsi="Arial" w:cs="Arial"/>
                                  <w:color w:val="15406C"/>
                                  <w:sz w:val="21"/>
                                  <w:szCs w:val="21"/>
                                </w:rPr>
                                <w:t xml:space="preserve"> ;</w:t>
                              </w:r>
                            </w:p>
                            <w:p w:rsidR="006C1B10" w:rsidRDefault="006C1B10">
                              <w:pPr>
                                <w:numPr>
                                  <w:ilvl w:val="0"/>
                                  <w:numId w:val="8"/>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Votre établissement peut postuler en AMI jusqu’au </w:t>
                              </w:r>
                              <w:r>
                                <w:rPr>
                                  <w:rStyle w:val="lev"/>
                                  <w:rFonts w:ascii="Arial" w:eastAsia="Times New Roman" w:hAnsi="Arial" w:cs="Arial"/>
                                  <w:color w:val="15406C"/>
                                  <w:sz w:val="21"/>
                                  <w:szCs w:val="21"/>
                                </w:rPr>
                                <w:t>30 juin 2019</w:t>
                              </w:r>
                              <w:r>
                                <w:rPr>
                                  <w:rFonts w:ascii="Arial" w:eastAsia="Times New Roman" w:hAnsi="Arial" w:cs="Arial"/>
                                  <w:color w:val="15406C"/>
                                  <w:sz w:val="21"/>
                                  <w:szCs w:val="21"/>
                                </w:rPr>
                                <w:t xml:space="preserve"> ;</w:t>
                              </w:r>
                            </w:p>
                            <w:p w:rsidR="006C1B10" w:rsidRDefault="006C1B10">
                              <w:pPr>
                                <w:numPr>
                                  <w:ilvl w:val="0"/>
                                  <w:numId w:val="8"/>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L’ARS présente sa programmation pluriannuelle au plus tard le </w:t>
                              </w:r>
                              <w:r>
                                <w:rPr>
                                  <w:rStyle w:val="lev"/>
                                  <w:rFonts w:ascii="Arial" w:eastAsia="Times New Roman" w:hAnsi="Arial" w:cs="Arial"/>
                                  <w:color w:val="15406C"/>
                                  <w:sz w:val="21"/>
                                  <w:szCs w:val="21"/>
                                </w:rPr>
                                <w:t>30 août 2019</w:t>
                              </w:r>
                              <w:r>
                                <w:rPr>
                                  <w:rFonts w:ascii="Arial" w:eastAsia="Times New Roman" w:hAnsi="Arial" w:cs="Arial"/>
                                  <w:color w:val="15406C"/>
                                  <w:sz w:val="21"/>
                                  <w:szCs w:val="21"/>
                                </w:rPr>
                                <w:t xml:space="preserve"> ;</w:t>
                              </w:r>
                            </w:p>
                            <w:p w:rsidR="006C1B10" w:rsidRDefault="006C1B10">
                              <w:pPr>
                                <w:numPr>
                                  <w:ilvl w:val="0"/>
                                  <w:numId w:val="8"/>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L’ARS notifie l’établissement au plus tard le </w:t>
                              </w:r>
                              <w:r>
                                <w:rPr>
                                  <w:rStyle w:val="lev"/>
                                  <w:rFonts w:ascii="Arial" w:eastAsia="Times New Roman" w:hAnsi="Arial" w:cs="Arial"/>
                                  <w:color w:val="15406C"/>
                                  <w:sz w:val="21"/>
                                  <w:szCs w:val="21"/>
                                </w:rPr>
                                <w:t>30 septembre 2019</w:t>
                              </w:r>
                              <w:r>
                                <w:rPr>
                                  <w:rFonts w:ascii="Arial" w:eastAsia="Times New Roman" w:hAnsi="Arial" w:cs="Arial"/>
                                  <w:color w:val="15406C"/>
                                  <w:sz w:val="21"/>
                                  <w:szCs w:val="21"/>
                                </w:rPr>
                                <w:t xml:space="preserve"> ;</w:t>
                              </w:r>
                            </w:p>
                            <w:p w:rsidR="006C1B10" w:rsidRDefault="006C1B10">
                              <w:pPr>
                                <w:numPr>
                                  <w:ilvl w:val="0"/>
                                  <w:numId w:val="8"/>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shd w:val="clear" w:color="auto" w:fill="FFFF00"/>
                                </w:rPr>
                                <w:t>Délégation des premiers financements à l’amorçage au cours du 4ème trimestre 2019 ;</w:t>
                              </w:r>
                            </w:p>
                            <w:p w:rsidR="006C1B10" w:rsidRDefault="006C1B10">
                              <w:pPr>
                                <w:numPr>
                                  <w:ilvl w:val="0"/>
                                  <w:numId w:val="8"/>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shd w:val="clear" w:color="auto" w:fill="FFFF00"/>
                                </w:rPr>
                                <w:t>Délégation des premiers financements à l’usage dès le 1er trimestre 2020.</w:t>
                              </w:r>
                              <w:r>
                                <w:rPr>
                                  <w:rFonts w:ascii="Arial" w:eastAsia="Times New Roman" w:hAnsi="Arial" w:cs="Arial"/>
                                  <w:color w:val="15406C"/>
                                  <w:sz w:val="21"/>
                                  <w:szCs w:val="21"/>
                                </w:rPr>
                                <w:t xml:space="preserve"> </w:t>
                              </w:r>
                            </w:p>
                            <w:p w:rsidR="006C1B10" w:rsidRDefault="006C1B10">
                              <w:pPr>
                                <w:pStyle w:val="NormalWeb"/>
                                <w:jc w:val="both"/>
                                <w:rPr>
                                  <w:rFonts w:ascii="Arial" w:hAnsi="Arial" w:cs="Arial"/>
                                  <w:color w:val="15406C"/>
                                  <w:sz w:val="18"/>
                                  <w:szCs w:val="18"/>
                                </w:rPr>
                              </w:pPr>
                              <w:r>
                                <w:rPr>
                                  <w:rStyle w:val="lev"/>
                                  <w:rFonts w:ascii="Arial" w:hAnsi="Arial" w:cs="Arial"/>
                                  <w:color w:val="008000"/>
                                  <w:sz w:val="27"/>
                                  <w:szCs w:val="27"/>
                                  <w:u w:val="single"/>
                                </w:rPr>
                                <w:t>La nécessaire anticipation du rôle prépondérant des ARS</w:t>
                              </w:r>
                              <w:r>
                                <w:rPr>
                                  <w:rFonts w:ascii="Arial" w:hAnsi="Arial" w:cs="Arial"/>
                                  <w:color w:val="15406C"/>
                                  <w:sz w:val="21"/>
                                  <w:szCs w:val="21"/>
                                </w:rPr>
                                <w:t xml:space="preserve">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Comme pour le programme Hôpital Numérique, les ARS disposent d’une marge de manœuvre importante, et qu’il ne faut pas sous-estimer :</w:t>
                              </w:r>
                            </w:p>
                            <w:p w:rsidR="006C1B10" w:rsidRDefault="006C1B10">
                              <w:pPr>
                                <w:numPr>
                                  <w:ilvl w:val="0"/>
                                  <w:numId w:val="9"/>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Sélection et suivi des dossiers ;</w:t>
                              </w:r>
                            </w:p>
                            <w:p w:rsidR="006C1B10" w:rsidRDefault="006C1B10">
                              <w:pPr>
                                <w:numPr>
                                  <w:ilvl w:val="0"/>
                                  <w:numId w:val="9"/>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Définition de priorités et objectifs propres ;</w:t>
                              </w:r>
                            </w:p>
                            <w:p w:rsidR="006C1B10" w:rsidRDefault="006C1B10">
                              <w:pPr>
                                <w:numPr>
                                  <w:ilvl w:val="0"/>
                                  <w:numId w:val="9"/>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Gestion de l’enveloppe régionale ;</w:t>
                              </w:r>
                            </w:p>
                            <w:p w:rsidR="006C1B10" w:rsidRDefault="006C1B10">
                              <w:pPr>
                                <w:numPr>
                                  <w:ilvl w:val="0"/>
                                  <w:numId w:val="9"/>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Décision sur l’amorçage (versement et montant).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En revanche les ARS doivent respecter les principes suivants :</w:t>
                              </w:r>
                            </w:p>
                            <w:p w:rsidR="006C1B10" w:rsidRDefault="006C1B10">
                              <w:pPr>
                                <w:numPr>
                                  <w:ilvl w:val="0"/>
                                  <w:numId w:val="10"/>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Officialiser leur stratégie au plus tard le 8 mars 2019 ;</w:t>
                              </w:r>
                            </w:p>
                            <w:p w:rsidR="006C1B10" w:rsidRDefault="006C1B10">
                              <w:pPr>
                                <w:numPr>
                                  <w:ilvl w:val="0"/>
                                  <w:numId w:val="10"/>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Ne pas exclure de domaines fonctionnels ;</w:t>
                              </w:r>
                            </w:p>
                            <w:p w:rsidR="006C1B10" w:rsidRDefault="006C1B10">
                              <w:pPr>
                                <w:numPr>
                                  <w:ilvl w:val="0"/>
                                  <w:numId w:val="10"/>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Respecter le cadre fixé par la DGOS ;</w:t>
                              </w:r>
                            </w:p>
                            <w:p w:rsidR="006C1B10" w:rsidRDefault="006C1B10">
                              <w:pPr>
                                <w:numPr>
                                  <w:ilvl w:val="0"/>
                                  <w:numId w:val="10"/>
                                </w:numPr>
                                <w:spacing w:before="100" w:beforeAutospacing="1" w:after="100" w:afterAutospacing="1"/>
                                <w:rPr>
                                  <w:rFonts w:ascii="Arial" w:eastAsia="Times New Roman" w:hAnsi="Arial" w:cs="Arial"/>
                                  <w:color w:val="15406C"/>
                                  <w:sz w:val="18"/>
                                  <w:szCs w:val="18"/>
                                </w:rPr>
                              </w:pPr>
                              <w:r>
                                <w:rPr>
                                  <w:rStyle w:val="lev"/>
                                  <w:rFonts w:ascii="Arial" w:eastAsia="Times New Roman" w:hAnsi="Arial" w:cs="Arial"/>
                                  <w:color w:val="15406C"/>
                                  <w:sz w:val="21"/>
                                  <w:szCs w:val="21"/>
                                </w:rPr>
                                <w:t>Assurer un équilibre dans la sélection des établissements (statuts et activités)</w:t>
                              </w:r>
                              <w:r>
                                <w:rPr>
                                  <w:rFonts w:ascii="Arial" w:eastAsia="Times New Roman" w:hAnsi="Arial" w:cs="Arial"/>
                                  <w:color w:val="15406C"/>
                                  <w:sz w:val="21"/>
                                  <w:szCs w:val="21"/>
                                </w:rPr>
                                <w:t xml:space="preserve"> ;</w:t>
                              </w:r>
                            </w:p>
                            <w:p w:rsidR="006C1B10" w:rsidRDefault="006C1B10">
                              <w:pPr>
                                <w:numPr>
                                  <w:ilvl w:val="0"/>
                                  <w:numId w:val="10"/>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Si refus d’un dossier, justification de cette décision ;</w:t>
                              </w:r>
                            </w:p>
                            <w:p w:rsidR="006C1B10" w:rsidRDefault="006C1B10">
                              <w:pPr>
                                <w:numPr>
                                  <w:ilvl w:val="0"/>
                                  <w:numId w:val="10"/>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Ne pas consacrer plus de 20 % de l’enveloppe régionale à l’amorçage. </w:t>
                              </w:r>
                            </w:p>
                            <w:p w:rsidR="006C1B10" w:rsidRDefault="006C1B10">
                              <w:pPr>
                                <w:pStyle w:val="NormalWeb"/>
                                <w:jc w:val="both"/>
                                <w:rPr>
                                  <w:rFonts w:ascii="Arial" w:hAnsi="Arial" w:cs="Arial"/>
                                  <w:color w:val="15406C"/>
                                  <w:sz w:val="18"/>
                                  <w:szCs w:val="18"/>
                                </w:rPr>
                              </w:pPr>
                              <w:r>
                                <w:rPr>
                                  <w:rStyle w:val="lev"/>
                                  <w:rFonts w:ascii="Arial" w:hAnsi="Arial" w:cs="Arial"/>
                                  <w:color w:val="15406C"/>
                                  <w:sz w:val="21"/>
                                  <w:szCs w:val="21"/>
                                </w:rPr>
                                <w:t>Nous vous conseillons de ne pas postuler en AMI tant que votre ARS n’a pas officialisé sa stratégie régionale</w:t>
                              </w:r>
                              <w:r>
                                <w:rPr>
                                  <w:rFonts w:ascii="Arial" w:hAnsi="Arial" w:cs="Arial"/>
                                  <w:color w:val="15406C"/>
                                  <w:sz w:val="21"/>
                                  <w:szCs w:val="21"/>
                                </w:rPr>
                                <w:t xml:space="preserve">, car il conviendra que votre dossier soit adapté à cette dernière. Dans ce cadre, nous vous conseillons de prendre attache avec votre FHP régionale. En effet, les FHP régionales sont vos interlocuteurs privilégiés auprès des chargés de mission systèmes d’information (CMSI) des ARS et elles pourront apporter leur expertise dans cette interaction fondamentale.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w:t>
                              </w:r>
                            </w:p>
                            <w:p w:rsidR="006C1B10" w:rsidRDefault="006C1B10">
                              <w:pPr>
                                <w:pStyle w:val="NormalWeb"/>
                                <w:jc w:val="both"/>
                                <w:rPr>
                                  <w:rFonts w:ascii="Arial" w:hAnsi="Arial" w:cs="Arial"/>
                                  <w:color w:val="15406C"/>
                                  <w:sz w:val="18"/>
                                  <w:szCs w:val="18"/>
                                </w:rPr>
                              </w:pPr>
                              <w:r>
                                <w:rPr>
                                  <w:rStyle w:val="lev"/>
                                  <w:rFonts w:ascii="Arial" w:hAnsi="Arial" w:cs="Arial"/>
                                  <w:color w:val="008000"/>
                                  <w:sz w:val="27"/>
                                  <w:szCs w:val="27"/>
                                  <w:u w:val="single"/>
                                </w:rPr>
                                <w:t>Les nouveautés du programme HOP’EN VS Hôpital Numérique</w:t>
                              </w:r>
                            </w:p>
                            <w:p w:rsidR="006C1B10" w:rsidRDefault="006C1B10">
                              <w:pPr>
                                <w:numPr>
                                  <w:ilvl w:val="0"/>
                                  <w:numId w:val="11"/>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Les pouvoirs publics vont procéder à des contrôles/audits plus nombreux et plus poussés ;</w:t>
                              </w:r>
                            </w:p>
                            <w:p w:rsidR="006C1B10" w:rsidRDefault="006C1B10">
                              <w:pPr>
                                <w:numPr>
                                  <w:ilvl w:val="0"/>
                                  <w:numId w:val="11"/>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Augmentation des exigences dans les prérequis : </w:t>
                              </w:r>
                              <w:proofErr w:type="spellStart"/>
                              <w:r>
                                <w:rPr>
                                  <w:rFonts w:ascii="Arial" w:eastAsia="Times New Roman" w:hAnsi="Arial" w:cs="Arial"/>
                                  <w:color w:val="15406C"/>
                                  <w:sz w:val="21"/>
                                  <w:szCs w:val="21"/>
                                </w:rPr>
                                <w:t>cybersécurité</w:t>
                              </w:r>
                              <w:proofErr w:type="spellEnd"/>
                              <w:r>
                                <w:rPr>
                                  <w:rFonts w:ascii="Arial" w:eastAsia="Times New Roman" w:hAnsi="Arial" w:cs="Arial"/>
                                  <w:color w:val="15406C"/>
                                  <w:sz w:val="21"/>
                                  <w:szCs w:val="21"/>
                                </w:rPr>
                                <w:t>, RGPD, DMP, MS Santé, ROR ;</w:t>
                              </w:r>
                            </w:p>
                            <w:p w:rsidR="006C1B10" w:rsidRDefault="006C1B10">
                              <w:pPr>
                                <w:numPr>
                                  <w:ilvl w:val="0"/>
                                  <w:numId w:val="11"/>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Domaine D6 (« communiquer et échanger avec les partenaires) : DMP, MS Santé, annuaire ;</w:t>
                              </w:r>
                            </w:p>
                            <w:p w:rsidR="006C1B10" w:rsidRDefault="006C1B10">
                              <w:pPr>
                                <w:numPr>
                                  <w:ilvl w:val="0"/>
                                  <w:numId w:val="11"/>
                                </w:numPr>
                                <w:spacing w:before="100" w:beforeAutospacing="1" w:after="100" w:afterAutospacing="1"/>
                                <w:rPr>
                                  <w:rFonts w:ascii="Arial" w:eastAsia="Times New Roman" w:hAnsi="Arial" w:cs="Arial"/>
                                  <w:color w:val="15406C"/>
                                  <w:sz w:val="18"/>
                                  <w:szCs w:val="18"/>
                                </w:rPr>
                              </w:pPr>
                              <w:r>
                                <w:rPr>
                                  <w:rFonts w:ascii="Arial" w:eastAsia="Times New Roman" w:hAnsi="Arial" w:cs="Arial"/>
                                  <w:color w:val="15406C"/>
                                  <w:sz w:val="21"/>
                                  <w:szCs w:val="21"/>
                                </w:rPr>
                                <w:t xml:space="preserve">Domaine D7 (« mettre à disposition des services en ligne aux usagers et patients ») : préadmission, rendez-vous et paiement en ligne.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xml:space="preserve">A noter que pour postuler à D6 ou D7, il faudra avoir rempli les domaines D2 et D3 dans le cadre du programme Hôpital Numérique.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w:t>
                              </w:r>
                            </w:p>
                            <w:p w:rsidR="006C1B10" w:rsidRDefault="006C1B10">
                              <w:pPr>
                                <w:pStyle w:val="NormalWeb"/>
                                <w:jc w:val="both"/>
                                <w:rPr>
                                  <w:rFonts w:ascii="Arial" w:hAnsi="Arial" w:cs="Arial"/>
                                  <w:color w:val="15406C"/>
                                  <w:sz w:val="18"/>
                                  <w:szCs w:val="18"/>
                                </w:rPr>
                              </w:pPr>
                              <w:r>
                                <w:rPr>
                                  <w:rStyle w:val="lev"/>
                                  <w:rFonts w:ascii="Arial" w:hAnsi="Arial" w:cs="Arial"/>
                                  <w:color w:val="008000"/>
                                  <w:sz w:val="27"/>
                                  <w:szCs w:val="27"/>
                                  <w:u w:val="single"/>
                                </w:rPr>
                                <w:t>Vous pouvez envoyer votre avis sur les guides avant le 8 mars</w:t>
                              </w:r>
                              <w:r>
                                <w:rPr>
                                  <w:rFonts w:ascii="Arial" w:hAnsi="Arial" w:cs="Arial"/>
                                  <w:color w:val="15406C"/>
                                  <w:sz w:val="21"/>
                                  <w:szCs w:val="21"/>
                                </w:rPr>
                                <w:t xml:space="preserve">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xml:space="preserve">Comme pour le programme Hôpital Numérique, le ministère de la Santé prévoit de publier des guides qui exposent en détail les indicateurs. 3 paramètres sont particulièrement importants : seuil d’éligibilité, modalité de calcul et documents justificatifs.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xml:space="preserve">La DGOS met actuellement en concertation, jusqu’au 8 mars 2019, le </w:t>
                              </w:r>
                              <w:hyperlink r:id="rId10" w:history="1">
                                <w:r>
                                  <w:rPr>
                                    <w:rStyle w:val="Lienhypertexte"/>
                                    <w:rFonts w:ascii="Arial" w:hAnsi="Arial" w:cs="Arial"/>
                                    <w:color w:val="3E21FF"/>
                                    <w:sz w:val="21"/>
                                    <w:szCs w:val="21"/>
                                  </w:rPr>
                                  <w:t>guide des prérequis</w:t>
                                </w:r>
                              </w:hyperlink>
                              <w:r>
                                <w:rPr>
                                  <w:rFonts w:ascii="Arial" w:hAnsi="Arial" w:cs="Arial"/>
                                  <w:color w:val="15406C"/>
                                  <w:sz w:val="21"/>
                                  <w:szCs w:val="21"/>
                                </w:rPr>
                                <w:t xml:space="preserve"> et le </w:t>
                              </w:r>
                              <w:hyperlink r:id="rId11" w:history="1">
                                <w:r>
                                  <w:rPr>
                                    <w:rStyle w:val="Lienhypertexte"/>
                                    <w:rFonts w:ascii="Arial" w:hAnsi="Arial" w:cs="Arial"/>
                                    <w:color w:val="3E21FF"/>
                                    <w:sz w:val="21"/>
                                    <w:szCs w:val="21"/>
                                  </w:rPr>
                                  <w:t>guide des indicateurs</w:t>
                                </w:r>
                              </w:hyperlink>
                              <w:r>
                                <w:rPr>
                                  <w:rFonts w:ascii="Arial" w:hAnsi="Arial" w:cs="Arial"/>
                                  <w:color w:val="15406C"/>
                                  <w:sz w:val="21"/>
                                  <w:szCs w:val="21"/>
                                </w:rPr>
                                <w:t xml:space="preserve"> afin que vous puissiez formuler votre avis. A cette fin, vous pouvez remplir ce </w:t>
                              </w:r>
                              <w:hyperlink r:id="rId12" w:history="1">
                                <w:r>
                                  <w:rPr>
                                    <w:rStyle w:val="Lienhypertexte"/>
                                    <w:rFonts w:ascii="Arial" w:hAnsi="Arial" w:cs="Arial"/>
                                    <w:color w:val="3E21FF"/>
                                    <w:sz w:val="21"/>
                                    <w:szCs w:val="21"/>
                                  </w:rPr>
                                  <w:t>fichier excel</w:t>
                                </w:r>
                              </w:hyperlink>
                              <w:r>
                                <w:rPr>
                                  <w:rFonts w:ascii="Arial" w:hAnsi="Arial" w:cs="Arial"/>
                                  <w:color w:val="15406C"/>
                                  <w:sz w:val="21"/>
                                  <w:szCs w:val="21"/>
                                </w:rPr>
                                <w:t xml:space="preserve"> et l’envoyer à l’adresse </w:t>
                              </w:r>
                              <w:hyperlink r:id="rId13" w:history="1">
                                <w:r>
                                  <w:rPr>
                                    <w:rStyle w:val="Lienhypertexte"/>
                                    <w:rFonts w:ascii="Arial" w:hAnsi="Arial" w:cs="Arial"/>
                                    <w:color w:val="3E21FF"/>
                                    <w:sz w:val="21"/>
                                    <w:szCs w:val="21"/>
                                  </w:rPr>
                                  <w:t>dgos-hopen@sante.gouv.fr</w:t>
                                </w:r>
                              </w:hyperlink>
                              <w:r>
                                <w:rPr>
                                  <w:rFonts w:ascii="Arial" w:hAnsi="Arial" w:cs="Arial"/>
                                  <w:color w:val="15406C"/>
                                  <w:sz w:val="21"/>
                                  <w:szCs w:val="21"/>
                                </w:rPr>
                                <w:t> en mettant Guilherme Pontes en copie (</w:t>
                              </w:r>
                              <w:hyperlink r:id="rId14" w:history="1">
                                <w:r>
                                  <w:rPr>
                                    <w:rStyle w:val="Lienhypertexte"/>
                                    <w:rFonts w:ascii="Arial" w:hAnsi="Arial" w:cs="Arial"/>
                                    <w:color w:val="3E21FF"/>
                                    <w:sz w:val="21"/>
                                    <w:szCs w:val="21"/>
                                  </w:rPr>
                                  <w:t>guilherme.pontes@fhp.fr</w:t>
                                </w:r>
                              </w:hyperlink>
                              <w:r>
                                <w:rPr>
                                  <w:rFonts w:ascii="Arial" w:hAnsi="Arial" w:cs="Arial"/>
                                  <w:color w:val="15406C"/>
                                  <w:sz w:val="21"/>
                                  <w:szCs w:val="21"/>
                                </w:rPr>
                                <w:t xml:space="preserve">).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xml:space="preserve">En parallèle, le groupe de travail SIH de la FHP travaille déjà depuis plusieurs mois sur ce chantier et prévoyait de fournir ce </w:t>
                              </w:r>
                              <w:hyperlink r:id="rId15" w:history="1">
                                <w:r>
                                  <w:rPr>
                                    <w:rStyle w:val="Lienhypertexte"/>
                                    <w:rFonts w:ascii="Arial" w:hAnsi="Arial" w:cs="Arial"/>
                                    <w:color w:val="3E21FF"/>
                                    <w:sz w:val="21"/>
                                    <w:szCs w:val="21"/>
                                  </w:rPr>
                                  <w:t>retour officiel (projet)</w:t>
                                </w:r>
                              </w:hyperlink>
                              <w:r>
                                <w:rPr>
                                  <w:rFonts w:ascii="Arial" w:hAnsi="Arial" w:cs="Arial"/>
                                  <w:color w:val="15406C"/>
                                  <w:sz w:val="21"/>
                                  <w:szCs w:val="21"/>
                                </w:rPr>
                                <w:t xml:space="preserve"> au nom de toute la profession. Vous pouvez également faire un retour à Guilherme Pontes sur ce travail si vous le souhaitez.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w:t>
                              </w:r>
                            </w:p>
                            <w:p w:rsidR="006C1B10" w:rsidRDefault="006C1B10">
                              <w:pPr>
                                <w:pStyle w:val="NormalWeb"/>
                                <w:jc w:val="both"/>
                                <w:rPr>
                                  <w:rFonts w:ascii="Arial" w:hAnsi="Arial" w:cs="Arial"/>
                                  <w:color w:val="15406C"/>
                                  <w:sz w:val="18"/>
                                  <w:szCs w:val="18"/>
                                </w:rPr>
                              </w:pPr>
                              <w:r>
                                <w:rPr>
                                  <w:rFonts w:ascii="Arial" w:hAnsi="Arial" w:cs="Arial"/>
                                  <w:color w:val="15406C"/>
                                  <w:sz w:val="21"/>
                                  <w:szCs w:val="21"/>
                                </w:rPr>
                                <w:t xml:space="preserve">Je vous prie d'agréer, Chère Adhérente, Cher Adhérent, nos salutations amicales et dévouées. </w:t>
                              </w:r>
                            </w:p>
                            <w:p w:rsidR="006C1B10" w:rsidRDefault="006C1B10">
                              <w:pPr>
                                <w:pStyle w:val="NormalWeb"/>
                                <w:jc w:val="both"/>
                                <w:rPr>
                                  <w:rFonts w:ascii="Arial" w:hAnsi="Arial" w:cs="Arial"/>
                                  <w:color w:val="15406C"/>
                                  <w:sz w:val="18"/>
                                  <w:szCs w:val="18"/>
                                </w:rPr>
                              </w:pPr>
                              <w:r>
                                <w:rPr>
                                  <w:rFonts w:ascii="Arial" w:hAnsi="Arial" w:cs="Arial"/>
                                  <w:color w:val="15406C"/>
                                  <w:sz w:val="18"/>
                                  <w:szCs w:val="18"/>
                                </w:rPr>
                                <w:t> </w:t>
                              </w:r>
                            </w:p>
                            <w:p w:rsidR="006C1B10" w:rsidRDefault="006C1B10">
                              <w:pPr>
                                <w:spacing w:after="240"/>
                                <w:rPr>
                                  <w:rFonts w:ascii="Arial" w:eastAsia="Times New Roman" w:hAnsi="Arial" w:cs="Arial"/>
                                  <w:color w:val="15406C"/>
                                  <w:sz w:val="18"/>
                                  <w:szCs w:val="18"/>
                                </w:rPr>
                              </w:pPr>
                              <w:r>
                                <w:rPr>
                                  <w:rFonts w:ascii="Arial" w:eastAsia="Times New Roman" w:hAnsi="Arial" w:cs="Arial"/>
                                  <w:color w:val="15406C"/>
                                  <w:sz w:val="21"/>
                                  <w:szCs w:val="21"/>
                                </w:rPr>
                                <w:t> </w:t>
                              </w:r>
                              <w:r>
                                <w:rPr>
                                  <w:rFonts w:ascii="Arial" w:eastAsia="Times New Roman" w:hAnsi="Arial" w:cs="Arial"/>
                                  <w:color w:val="15406C"/>
                                  <w:sz w:val="21"/>
                                  <w:szCs w:val="21"/>
                                </w:rPr>
                                <w:br/>
                              </w:r>
                              <w:r>
                                <w:rPr>
                                  <w:rStyle w:val="lev"/>
                                  <w:rFonts w:ascii="Arial" w:eastAsia="Times New Roman" w:hAnsi="Arial" w:cs="Arial"/>
                                  <w:color w:val="15406C"/>
                                  <w:sz w:val="21"/>
                                  <w:szCs w:val="21"/>
                                </w:rPr>
                                <w:t xml:space="preserve">Michel </w:t>
                              </w:r>
                              <w:proofErr w:type="spellStart"/>
                              <w:r>
                                <w:rPr>
                                  <w:rStyle w:val="lev"/>
                                  <w:rFonts w:ascii="Arial" w:eastAsia="Times New Roman" w:hAnsi="Arial" w:cs="Arial"/>
                                  <w:color w:val="15406C"/>
                                  <w:sz w:val="21"/>
                                  <w:szCs w:val="21"/>
                                </w:rPr>
                                <w:t>Ballereau</w:t>
                              </w:r>
                              <w:proofErr w:type="spellEnd"/>
                              <w:proofErr w:type="gramStart"/>
                              <w:r>
                                <w:rPr>
                                  <w:rStyle w:val="lev"/>
                                  <w:rFonts w:ascii="Arial" w:eastAsia="Times New Roman" w:hAnsi="Arial" w:cs="Arial"/>
                                  <w:color w:val="15406C"/>
                                  <w:sz w:val="21"/>
                                  <w:szCs w:val="21"/>
                                </w:rPr>
                                <w:t>,</w:t>
                              </w:r>
                              <w:proofErr w:type="gramEnd"/>
                              <w:r>
                                <w:rPr>
                                  <w:rFonts w:ascii="Arial" w:eastAsia="Times New Roman" w:hAnsi="Arial" w:cs="Arial"/>
                                  <w:color w:val="15406C"/>
                                  <w:sz w:val="21"/>
                                  <w:szCs w:val="21"/>
                                </w:rPr>
                                <w:br/>
                                <w:t>Délégué général</w:t>
                              </w:r>
                              <w:r>
                                <w:rPr>
                                  <w:rFonts w:ascii="Arial" w:eastAsia="Times New Roman" w:hAnsi="Arial" w:cs="Arial"/>
                                  <w:color w:val="15406C"/>
                                  <w:sz w:val="18"/>
                                  <w:szCs w:val="18"/>
                                </w:rPr>
                                <w:br/>
                                <w:t> </w:t>
                              </w:r>
                              <w:r>
                                <w:rPr>
                                  <w:rFonts w:ascii="Arial" w:eastAsia="Times New Roman" w:hAnsi="Arial" w:cs="Arial"/>
                                  <w:color w:val="15406C"/>
                                  <w:sz w:val="18"/>
                                  <w:szCs w:val="18"/>
                                </w:rPr>
                                <w:br/>
                              </w:r>
                              <w:r>
                                <w:rPr>
                                  <w:rFonts w:ascii="Arial" w:eastAsia="Times New Roman" w:hAnsi="Arial" w:cs="Arial"/>
                                  <w:noProof/>
                                  <w:color w:val="15406C"/>
                                  <w:sz w:val="21"/>
                                  <w:szCs w:val="21"/>
                                </w:rPr>
                                <w:drawing>
                                  <wp:inline distT="0" distB="0" distL="0" distR="0">
                                    <wp:extent cx="1857375" cy="542925"/>
                                    <wp:effectExtent l="0" t="0" r="9525" b="9525"/>
                                    <wp:docPr id="2" name="Image 2" descr="http://img.news.fhp.fr/66842/aUvXmw30p0Co_3LZlyrbww/BTN-%C3%A0%20t%C3%A9l%C3%A9charger%20DPEJ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DHEwDuICvIEsrFrCFGBIsvICuEvuAr" descr="http://img.news.fhp.fr/66842/aUvXmw30p0Co_3LZlyrbww/BTN-%C3%A0%20t%C3%A9l%C3%A9charger%20DPEJ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542925"/>
                                            </a:xfrm>
                                            <a:prstGeom prst="rect">
                                              <a:avLst/>
                                            </a:prstGeom>
                                            <a:noFill/>
                                            <a:ln>
                                              <a:noFill/>
                                            </a:ln>
                                          </pic:spPr>
                                        </pic:pic>
                                      </a:graphicData>
                                    </a:graphic>
                                  </wp:inline>
                                </w:drawing>
                              </w:r>
                            </w:p>
                            <w:p w:rsidR="006C1B10" w:rsidRDefault="006C1B10">
                              <w:pPr>
                                <w:numPr>
                                  <w:ilvl w:val="0"/>
                                  <w:numId w:val="12"/>
                                </w:numPr>
                                <w:spacing w:before="100" w:beforeAutospacing="1" w:after="100" w:afterAutospacing="1"/>
                                <w:rPr>
                                  <w:rFonts w:ascii="Arial" w:eastAsia="Times New Roman" w:hAnsi="Arial" w:cs="Arial"/>
                                  <w:color w:val="15406C"/>
                                  <w:sz w:val="18"/>
                                  <w:szCs w:val="18"/>
                                </w:rPr>
                              </w:pPr>
                              <w:hyperlink r:id="rId17" w:history="1">
                                <w:r>
                                  <w:rPr>
                                    <w:rStyle w:val="Lienhypertexte"/>
                                    <w:rFonts w:ascii="Arial" w:eastAsia="Times New Roman" w:hAnsi="Arial" w:cs="Arial"/>
                                    <w:color w:val="3E21FF"/>
                                    <w:sz w:val="21"/>
                                    <w:szCs w:val="21"/>
                                  </w:rPr>
                                  <w:t>INSTRUCTION N° DGOS/PF5/2019/32 du 12 février 2019 relative au lancement opérationnel du programme HOP’EN</w:t>
                                </w:r>
                              </w:hyperlink>
                              <w:r>
                                <w:rPr>
                                  <w:rFonts w:ascii="Arial" w:eastAsia="Times New Roman" w:hAnsi="Arial" w:cs="Arial"/>
                                  <w:color w:val="15406C"/>
                                  <w:sz w:val="21"/>
                                  <w:szCs w:val="21"/>
                                </w:rPr>
                                <w:t xml:space="preserve"> </w:t>
                              </w:r>
                            </w:p>
                            <w:p w:rsidR="006C1B10" w:rsidRDefault="006C1B10">
                              <w:pPr>
                                <w:numPr>
                                  <w:ilvl w:val="0"/>
                                  <w:numId w:val="12"/>
                                </w:numPr>
                                <w:spacing w:before="100" w:beforeAutospacing="1" w:after="100" w:afterAutospacing="1"/>
                                <w:rPr>
                                  <w:rFonts w:ascii="Arial" w:eastAsia="Times New Roman" w:hAnsi="Arial" w:cs="Arial"/>
                                  <w:color w:val="15406C"/>
                                  <w:sz w:val="18"/>
                                  <w:szCs w:val="18"/>
                                </w:rPr>
                              </w:pPr>
                              <w:hyperlink r:id="rId18" w:history="1">
                                <w:r>
                                  <w:rPr>
                                    <w:rStyle w:val="Lienhypertexte"/>
                                    <w:rFonts w:ascii="Arial" w:eastAsia="Times New Roman" w:hAnsi="Arial" w:cs="Arial"/>
                                    <w:color w:val="3E21FF"/>
                                    <w:sz w:val="21"/>
                                    <w:szCs w:val="21"/>
                                  </w:rPr>
                                  <w:t>Guide des indicateurs des prérequis</w:t>
                                </w:r>
                              </w:hyperlink>
                              <w:r>
                                <w:rPr>
                                  <w:rFonts w:ascii="Arial" w:eastAsia="Times New Roman" w:hAnsi="Arial" w:cs="Arial"/>
                                  <w:color w:val="15406C"/>
                                  <w:sz w:val="21"/>
                                  <w:szCs w:val="21"/>
                                </w:rPr>
                                <w:t xml:space="preserve"> </w:t>
                              </w:r>
                            </w:p>
                            <w:p w:rsidR="006C1B10" w:rsidRDefault="006C1B10">
                              <w:pPr>
                                <w:numPr>
                                  <w:ilvl w:val="0"/>
                                  <w:numId w:val="12"/>
                                </w:numPr>
                                <w:spacing w:before="100" w:beforeAutospacing="1" w:after="100" w:afterAutospacing="1"/>
                                <w:rPr>
                                  <w:rFonts w:ascii="Arial" w:eastAsia="Times New Roman" w:hAnsi="Arial" w:cs="Arial"/>
                                  <w:color w:val="15406C"/>
                                  <w:sz w:val="18"/>
                                  <w:szCs w:val="18"/>
                                </w:rPr>
                              </w:pPr>
                              <w:hyperlink r:id="rId19" w:history="1">
                                <w:r>
                                  <w:rPr>
                                    <w:rStyle w:val="Lienhypertexte"/>
                                    <w:rFonts w:ascii="Arial" w:eastAsia="Times New Roman" w:hAnsi="Arial" w:cs="Arial"/>
                                    <w:color w:val="3E21FF"/>
                                    <w:sz w:val="21"/>
                                    <w:szCs w:val="21"/>
                                  </w:rPr>
                                  <w:t>Guide des indicateurs des domaines</w:t>
                                </w:r>
                              </w:hyperlink>
                              <w:r>
                                <w:rPr>
                                  <w:rFonts w:ascii="Arial" w:eastAsia="Times New Roman" w:hAnsi="Arial" w:cs="Arial"/>
                                  <w:color w:val="15406C"/>
                                  <w:sz w:val="21"/>
                                  <w:szCs w:val="21"/>
                                </w:rPr>
                                <w:t xml:space="preserve"> </w:t>
                              </w:r>
                            </w:p>
                            <w:p w:rsidR="006C1B10" w:rsidRDefault="006C1B10">
                              <w:pPr>
                                <w:numPr>
                                  <w:ilvl w:val="0"/>
                                  <w:numId w:val="12"/>
                                </w:numPr>
                                <w:spacing w:before="100" w:beforeAutospacing="1" w:after="100" w:afterAutospacing="1"/>
                                <w:rPr>
                                  <w:rFonts w:ascii="Arial" w:eastAsia="Times New Roman" w:hAnsi="Arial" w:cs="Arial"/>
                                  <w:color w:val="15406C"/>
                                  <w:sz w:val="18"/>
                                  <w:szCs w:val="18"/>
                                </w:rPr>
                              </w:pPr>
                              <w:hyperlink r:id="rId20" w:history="1">
                                <w:r>
                                  <w:rPr>
                                    <w:rStyle w:val="Lienhypertexte"/>
                                    <w:rFonts w:ascii="Arial" w:eastAsia="Times New Roman" w:hAnsi="Arial" w:cs="Arial"/>
                                    <w:color w:val="3E21FF"/>
                                    <w:sz w:val="21"/>
                                    <w:szCs w:val="21"/>
                                  </w:rPr>
                                  <w:t>Fichier de saisie de vos commentaires sur les indicateurs</w:t>
                                </w:r>
                              </w:hyperlink>
                              <w:r>
                                <w:rPr>
                                  <w:rFonts w:ascii="Arial" w:eastAsia="Times New Roman" w:hAnsi="Arial" w:cs="Arial"/>
                                  <w:color w:val="15406C"/>
                                  <w:sz w:val="21"/>
                                  <w:szCs w:val="21"/>
                                </w:rPr>
                                <w:t xml:space="preserve"> </w:t>
                              </w:r>
                            </w:p>
                            <w:p w:rsidR="006C1B10" w:rsidRDefault="006C1B10">
                              <w:pPr>
                                <w:numPr>
                                  <w:ilvl w:val="0"/>
                                  <w:numId w:val="12"/>
                                </w:numPr>
                                <w:spacing w:before="100" w:beforeAutospacing="1" w:after="240"/>
                                <w:rPr>
                                  <w:rFonts w:ascii="Arial" w:eastAsia="Times New Roman" w:hAnsi="Arial" w:cs="Arial"/>
                                  <w:color w:val="15406C"/>
                                  <w:sz w:val="18"/>
                                  <w:szCs w:val="18"/>
                                </w:rPr>
                              </w:pPr>
                              <w:hyperlink r:id="rId21" w:history="1">
                                <w:r>
                                  <w:rPr>
                                    <w:rStyle w:val="Lienhypertexte"/>
                                    <w:rFonts w:ascii="Arial" w:eastAsia="Times New Roman" w:hAnsi="Arial" w:cs="Arial"/>
                                    <w:color w:val="3E21FF"/>
                                    <w:sz w:val="21"/>
                                    <w:szCs w:val="21"/>
                                  </w:rPr>
                                  <w:t>Projet de retour officiel de la FHP sur les guides des prérequis et domaines</w:t>
                                </w:r>
                              </w:hyperlink>
                              <w:r>
                                <w:rPr>
                                  <w:rFonts w:ascii="Arial" w:eastAsia="Times New Roman" w:hAnsi="Arial" w:cs="Arial"/>
                                  <w:color w:val="15406C"/>
                                  <w:sz w:val="21"/>
                                  <w:szCs w:val="21"/>
                                </w:rPr>
                                <w:t xml:space="preserve"> </w:t>
                              </w:r>
                            </w:p>
                          </w:tc>
                        </w:tr>
                      </w:tbl>
                      <w:p w:rsidR="006C1B10" w:rsidRDefault="006C1B10">
                        <w:pPr>
                          <w:rPr>
                            <w:rFonts w:eastAsia="Times New Roman"/>
                            <w:sz w:val="20"/>
                            <w:szCs w:val="20"/>
                          </w:rPr>
                        </w:pPr>
                      </w:p>
                    </w:tc>
                  </w:tr>
                </w:tbl>
                <w:p w:rsidR="006C1B10" w:rsidRDefault="006C1B10">
                  <w:pPr>
                    <w:rPr>
                      <w:rFonts w:eastAsia="Times New Roman"/>
                      <w:sz w:val="20"/>
                      <w:szCs w:val="20"/>
                    </w:rPr>
                  </w:pPr>
                </w:p>
              </w:tc>
            </w:tr>
            <w:tr w:rsidR="006C1B10">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6C1B10">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6C1B10">
                          <w:trPr>
                            <w:tblCellSpacing w:w="0" w:type="dxa"/>
                          </w:trPr>
                          <w:tc>
                            <w:tcPr>
                              <w:tcW w:w="0" w:type="auto"/>
                              <w:tcMar>
                                <w:top w:w="120" w:type="dxa"/>
                                <w:left w:w="120" w:type="dxa"/>
                                <w:bottom w:w="120" w:type="dxa"/>
                                <w:right w:w="120" w:type="dxa"/>
                              </w:tcMar>
                              <w:hideMark/>
                            </w:tcPr>
                            <w:p w:rsidR="006C1B10" w:rsidRDefault="006C1B10">
                              <w:pPr>
                                <w:rPr>
                                  <w:rFonts w:ascii="Arial" w:eastAsia="Times New Roman" w:hAnsi="Arial" w:cs="Arial"/>
                                  <w:color w:val="15406C"/>
                                  <w:sz w:val="18"/>
                                  <w:szCs w:val="18"/>
                                </w:rPr>
                              </w:pPr>
                              <w:r>
                                <w:rPr>
                                  <w:rFonts w:ascii="Arial" w:eastAsia="Times New Roman" w:hAnsi="Arial" w:cs="Arial"/>
                                  <w:color w:val="15406C"/>
                                  <w:sz w:val="18"/>
                                  <w:szCs w:val="18"/>
                                </w:rPr>
                                <w:t> </w:t>
                              </w:r>
                            </w:p>
                          </w:tc>
                        </w:tr>
                      </w:tbl>
                      <w:p w:rsidR="006C1B10" w:rsidRDefault="006C1B10">
                        <w:pPr>
                          <w:rPr>
                            <w:rFonts w:eastAsia="Times New Roman"/>
                            <w:sz w:val="20"/>
                            <w:szCs w:val="20"/>
                          </w:rPr>
                        </w:pPr>
                      </w:p>
                    </w:tc>
                  </w:tr>
                </w:tbl>
                <w:p w:rsidR="006C1B10" w:rsidRDefault="006C1B10">
                  <w:pPr>
                    <w:rPr>
                      <w:rFonts w:eastAsia="Times New Roman"/>
                      <w:sz w:val="20"/>
                      <w:szCs w:val="20"/>
                    </w:rPr>
                  </w:pPr>
                </w:p>
              </w:tc>
            </w:tr>
          </w:tbl>
          <w:p w:rsidR="006C1B10" w:rsidRDefault="006C1B10">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6C1B10">
              <w:trPr>
                <w:tblCellSpacing w:w="0" w:type="dxa"/>
                <w:jc w:val="center"/>
              </w:trPr>
              <w:tc>
                <w:tcPr>
                  <w:tcW w:w="0" w:type="auto"/>
                  <w:shd w:val="clear" w:color="auto" w:fill="CEE9FD"/>
                  <w:hideMark/>
                </w:tcPr>
                <w:tbl>
                  <w:tblPr>
                    <w:tblW w:w="0" w:type="auto"/>
                    <w:tblCellSpacing w:w="0" w:type="dxa"/>
                    <w:tblCellMar>
                      <w:left w:w="0" w:type="dxa"/>
                      <w:right w:w="0" w:type="dxa"/>
                    </w:tblCellMar>
                    <w:tblLook w:val="04A0" w:firstRow="1" w:lastRow="0" w:firstColumn="1" w:lastColumn="0" w:noHBand="0" w:noVBand="1"/>
                  </w:tblPr>
                  <w:tblGrid>
                    <w:gridCol w:w="6480"/>
                    <w:gridCol w:w="3240"/>
                  </w:tblGrid>
                  <w:tr w:rsidR="006C1B10">
                    <w:trPr>
                      <w:tblCellSpacing w:w="0" w:type="dxa"/>
                    </w:trPr>
                    <w:tc>
                      <w:tcPr>
                        <w:tcW w:w="0" w:type="auto"/>
                        <w:hideMark/>
                      </w:tcPr>
                      <w:tbl>
                        <w:tblPr>
                          <w:tblpPr w:vertAnchor="text"/>
                          <w:tblW w:w="6480" w:type="dxa"/>
                          <w:tblCellSpacing w:w="0" w:type="dxa"/>
                          <w:tblCellMar>
                            <w:left w:w="0" w:type="dxa"/>
                            <w:right w:w="0" w:type="dxa"/>
                          </w:tblCellMar>
                          <w:tblLook w:val="04A0" w:firstRow="1" w:lastRow="0" w:firstColumn="1" w:lastColumn="0" w:noHBand="0" w:noVBand="1"/>
                        </w:tblPr>
                        <w:tblGrid>
                          <w:gridCol w:w="6480"/>
                        </w:tblGrid>
                        <w:tr w:rsidR="006C1B10">
                          <w:trPr>
                            <w:tblCellSpacing w:w="0" w:type="dxa"/>
                          </w:trPr>
                          <w:tc>
                            <w:tcPr>
                              <w:tcW w:w="0" w:type="auto"/>
                              <w:tcMar>
                                <w:top w:w="330" w:type="dxa"/>
                                <w:left w:w="330" w:type="dxa"/>
                                <w:bottom w:w="330" w:type="dxa"/>
                                <w:right w:w="330" w:type="dxa"/>
                              </w:tcMar>
                              <w:hideMark/>
                            </w:tcPr>
                            <w:p w:rsidR="006C1B10" w:rsidRDefault="006C1B10">
                              <w:pPr>
                                <w:spacing w:after="240"/>
                                <w:rPr>
                                  <w:rFonts w:ascii="Arial" w:eastAsia="Times New Roman" w:hAnsi="Arial" w:cs="Arial"/>
                                  <w:color w:val="15406C"/>
                                  <w:sz w:val="18"/>
                                  <w:szCs w:val="18"/>
                                </w:rPr>
                              </w:pPr>
                              <w:r>
                                <w:rPr>
                                  <w:rStyle w:val="lev"/>
                                  <w:rFonts w:ascii="Arial" w:eastAsia="Times New Roman" w:hAnsi="Arial" w:cs="Arial"/>
                                  <w:color w:val="15406C"/>
                                  <w:sz w:val="18"/>
                                  <w:szCs w:val="18"/>
                                </w:rPr>
                                <w:t>Contact : Direction de la Prospective économique, juridique et médicale</w:t>
                              </w:r>
                              <w:r>
                                <w:rPr>
                                  <w:rFonts w:ascii="Arial" w:eastAsia="Times New Roman" w:hAnsi="Arial" w:cs="Arial"/>
                                  <w:color w:val="15406C"/>
                                  <w:sz w:val="18"/>
                                  <w:szCs w:val="18"/>
                                </w:rPr>
                                <w:br/>
                              </w:r>
                              <w:r>
                                <w:rPr>
                                  <w:rStyle w:val="lev"/>
                                  <w:rFonts w:ascii="Arial" w:eastAsia="Times New Roman" w:hAnsi="Arial" w:cs="Arial"/>
                                  <w:color w:val="15406C"/>
                                  <w:sz w:val="18"/>
                                  <w:szCs w:val="18"/>
                                </w:rPr>
                                <w:t>Guilherme Pontes</w:t>
                              </w:r>
                              <w:r>
                                <w:rPr>
                                  <w:rFonts w:ascii="Arial" w:eastAsia="Times New Roman" w:hAnsi="Arial" w:cs="Arial"/>
                                  <w:color w:val="15406C"/>
                                  <w:sz w:val="18"/>
                                  <w:szCs w:val="18"/>
                                </w:rPr>
                                <w:br/>
                                <w:t>Responsable des affaires économiques &amp; SI</w:t>
                              </w:r>
                              <w:r>
                                <w:rPr>
                                  <w:rFonts w:ascii="Arial" w:eastAsia="Times New Roman" w:hAnsi="Arial" w:cs="Arial"/>
                                  <w:color w:val="15406C"/>
                                  <w:sz w:val="18"/>
                                  <w:szCs w:val="18"/>
                                </w:rPr>
                                <w:br/>
                                <w:t xml:space="preserve">Tél. 01 53 83 56 56 - </w:t>
                              </w:r>
                              <w:hyperlink r:id="rId22" w:history="1">
                                <w:r>
                                  <w:rPr>
                                    <w:rStyle w:val="Lienhypertexte"/>
                                    <w:rFonts w:ascii="Arial" w:eastAsia="Times New Roman" w:hAnsi="Arial" w:cs="Arial"/>
                                    <w:sz w:val="18"/>
                                    <w:szCs w:val="18"/>
                                  </w:rPr>
                                  <w:t>guilherme.pontes@fhp.fr</w:t>
                                </w:r>
                              </w:hyperlink>
                              <w:r>
                                <w:rPr>
                                  <w:rFonts w:ascii="Arial" w:eastAsia="Times New Roman" w:hAnsi="Arial" w:cs="Arial"/>
                                  <w:color w:val="15406C"/>
                                  <w:sz w:val="18"/>
                                  <w:szCs w:val="18"/>
                                </w:rPr>
                                <w:t xml:space="preserve"> </w:t>
                              </w:r>
                            </w:p>
                          </w:tc>
                        </w:tr>
                      </w:tbl>
                      <w:p w:rsidR="006C1B10" w:rsidRDefault="006C1B10">
                        <w:pPr>
                          <w:rPr>
                            <w:rFonts w:eastAsia="Times New Roman"/>
                            <w:sz w:val="20"/>
                            <w:szCs w:val="20"/>
                          </w:rPr>
                        </w:pPr>
                      </w:p>
                    </w:tc>
                    <w:tc>
                      <w:tcPr>
                        <w:tcW w:w="0" w:type="auto"/>
                        <w:hideMark/>
                      </w:tcPr>
                      <w:tbl>
                        <w:tblPr>
                          <w:tblpPr w:vertAnchor="text" w:tblpXSpec="right" w:tblpYSpec="center"/>
                          <w:tblW w:w="3240" w:type="dxa"/>
                          <w:tblCellSpacing w:w="0" w:type="dxa"/>
                          <w:tblCellMar>
                            <w:left w:w="0" w:type="dxa"/>
                            <w:right w:w="0" w:type="dxa"/>
                          </w:tblCellMar>
                          <w:tblLook w:val="04A0" w:firstRow="1" w:lastRow="0" w:firstColumn="1" w:lastColumn="0" w:noHBand="0" w:noVBand="1"/>
                        </w:tblPr>
                        <w:tblGrid>
                          <w:gridCol w:w="3240"/>
                        </w:tblGrid>
                        <w:tr w:rsidR="006C1B10">
                          <w:trPr>
                            <w:tblCellSpacing w:w="0" w:type="dxa"/>
                          </w:trPr>
                          <w:tc>
                            <w:tcPr>
                              <w:tcW w:w="0" w:type="auto"/>
                              <w:tcMar>
                                <w:top w:w="330" w:type="dxa"/>
                                <w:left w:w="330" w:type="dxa"/>
                                <w:bottom w:w="330" w:type="dxa"/>
                                <w:right w:w="330" w:type="dxa"/>
                              </w:tcMar>
                              <w:hideMark/>
                            </w:tcPr>
                            <w:p w:rsidR="006C1B10" w:rsidRDefault="006C1B10">
                              <w:pPr>
                                <w:pStyle w:val="NormalWeb"/>
                                <w:jc w:val="center"/>
                                <w:rPr>
                                  <w:rFonts w:ascii="Arial" w:hAnsi="Arial" w:cs="Arial"/>
                                  <w:color w:val="15406C"/>
                                  <w:sz w:val="18"/>
                                  <w:szCs w:val="18"/>
                                </w:rPr>
                              </w:pPr>
                              <w:r>
                                <w:rPr>
                                  <w:rFonts w:ascii="Arial" w:hAnsi="Arial" w:cs="Arial"/>
                                  <w:noProof/>
                                  <w:color w:val="3E21FF"/>
                                  <w:sz w:val="18"/>
                                  <w:szCs w:val="18"/>
                                </w:rPr>
                                <w:drawing>
                                  <wp:inline distT="0" distB="0" distL="0" distR="0">
                                    <wp:extent cx="1524000" cy="390525"/>
                                    <wp:effectExtent l="0" t="0" r="0" b="9525"/>
                                    <wp:docPr id="1" name="Image 1" descr="http://img.news.fhp.fr/66842/aUvXmw30p0Co_3LZlyrbww/image_07.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wFFAwBsJIJEHJAJEDDuBGHEADIttEC" descr="http://img.news.fhp.fr/66842/aUvXmw30p0Co_3LZlyrbww/image_0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tc>
                        </w:tr>
                      </w:tbl>
                      <w:p w:rsidR="006C1B10" w:rsidRDefault="006C1B10">
                        <w:pPr>
                          <w:rPr>
                            <w:rFonts w:eastAsia="Times New Roman"/>
                            <w:sz w:val="20"/>
                            <w:szCs w:val="20"/>
                          </w:rPr>
                        </w:pPr>
                      </w:p>
                    </w:tc>
                  </w:tr>
                </w:tbl>
                <w:p w:rsidR="006C1B10" w:rsidRDefault="006C1B10">
                  <w:pPr>
                    <w:rPr>
                      <w:rFonts w:eastAsia="Times New Roman"/>
                      <w:sz w:val="20"/>
                      <w:szCs w:val="20"/>
                    </w:rPr>
                  </w:pPr>
                </w:p>
              </w:tc>
            </w:tr>
          </w:tbl>
          <w:p w:rsidR="006C1B10" w:rsidRDefault="006C1B10">
            <w:pPr>
              <w:jc w:val="center"/>
              <w:rPr>
                <w:rFonts w:eastAsia="Times New Roman"/>
                <w:sz w:val="20"/>
                <w:szCs w:val="20"/>
              </w:rPr>
            </w:pPr>
          </w:p>
        </w:tc>
      </w:tr>
      <w:tr w:rsidR="006C1B10" w:rsidTr="006C1B10">
        <w:trPr>
          <w:tblCellSpacing w:w="0" w:type="dxa"/>
          <w:jc w:val="center"/>
        </w:trPr>
        <w:tc>
          <w:tcPr>
            <w:tcW w:w="0" w:type="auto"/>
            <w:tcMar>
              <w:top w:w="150" w:type="dxa"/>
              <w:left w:w="150" w:type="dxa"/>
              <w:bottom w:w="150" w:type="dxa"/>
              <w:right w:w="150" w:type="dxa"/>
            </w:tcMar>
          </w:tcPr>
          <w:p w:rsidR="006C1B10" w:rsidRDefault="006C1B10">
            <w:pPr>
              <w:pStyle w:val="NormalWeb"/>
              <w:jc w:val="center"/>
              <w:rPr>
                <w:rStyle w:val="Lienhypertexte"/>
                <w:rFonts w:ascii="Arial" w:hAnsi="Arial" w:cs="Arial"/>
                <w:color w:val="3E21FF"/>
                <w:sz w:val="15"/>
                <w:szCs w:val="15"/>
              </w:rPr>
            </w:pPr>
            <w:hyperlink r:id="rId25" w:history="1">
              <w:r>
                <w:rPr>
                  <w:rStyle w:val="Lienhypertexte"/>
                  <w:rFonts w:ascii="Arial" w:hAnsi="Arial" w:cs="Arial"/>
                  <w:color w:val="8C8C8C"/>
                  <w:sz w:val="15"/>
                  <w:szCs w:val="15"/>
                </w:rPr>
                <w:t>Se désabonner</w:t>
              </w:r>
            </w:hyperlink>
          </w:p>
          <w:p w:rsidR="006C1B10" w:rsidRDefault="006C1B10">
            <w:pPr>
              <w:jc w:val="center"/>
              <w:rPr>
                <w:rFonts w:eastAsia="Times New Roman"/>
                <w:color w:val="000000"/>
                <w:sz w:val="18"/>
                <w:szCs w:val="18"/>
              </w:rPr>
            </w:pPr>
          </w:p>
        </w:tc>
      </w:tr>
    </w:tbl>
    <w:p w:rsidR="00A104AD" w:rsidRDefault="00A104AD"/>
    <w:sectPr w:rsidR="00A104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9DD"/>
    <w:multiLevelType w:val="multilevel"/>
    <w:tmpl w:val="2C18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2355"/>
    <w:multiLevelType w:val="multilevel"/>
    <w:tmpl w:val="41EC8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60835"/>
    <w:multiLevelType w:val="multilevel"/>
    <w:tmpl w:val="28A49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14374D"/>
    <w:multiLevelType w:val="multilevel"/>
    <w:tmpl w:val="A6D01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052DE"/>
    <w:multiLevelType w:val="multilevel"/>
    <w:tmpl w:val="C14AE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90457"/>
    <w:multiLevelType w:val="multilevel"/>
    <w:tmpl w:val="39445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21EE4"/>
    <w:multiLevelType w:val="multilevel"/>
    <w:tmpl w:val="76261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06FA3"/>
    <w:multiLevelType w:val="multilevel"/>
    <w:tmpl w:val="02386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E26B16"/>
    <w:multiLevelType w:val="multilevel"/>
    <w:tmpl w:val="D158D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0A4C88"/>
    <w:multiLevelType w:val="multilevel"/>
    <w:tmpl w:val="A1CA6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0A1983"/>
    <w:multiLevelType w:val="multilevel"/>
    <w:tmpl w:val="E20ED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D1BC1"/>
    <w:multiLevelType w:val="multilevel"/>
    <w:tmpl w:val="F2BA7B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2F"/>
    <w:rsid w:val="006C1B10"/>
    <w:rsid w:val="00A104AD"/>
    <w:rsid w:val="00C912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D20C9-6C00-42CC-B130-806140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1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C1B10"/>
    <w:rPr>
      <w:color w:val="0000FF"/>
      <w:u w:val="single"/>
    </w:rPr>
  </w:style>
  <w:style w:type="paragraph" w:styleId="NormalWeb">
    <w:name w:val="Normal (Web)"/>
    <w:basedOn w:val="Normal"/>
    <w:uiPriority w:val="99"/>
    <w:semiHidden/>
    <w:unhideWhenUsed/>
    <w:rsid w:val="006C1B10"/>
  </w:style>
  <w:style w:type="character" w:styleId="lev">
    <w:name w:val="Strong"/>
    <w:basedOn w:val="Policepardfaut"/>
    <w:uiPriority w:val="22"/>
    <w:qFormat/>
    <w:rsid w:val="006C1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ye.news.fhp.fr/c?p=xBA00NkaLNCfb05G0IYALxRM0K160KbEEP3Qo9Cg0Jbk0LdhTtCINdCxbHHQxdCcc9leaHR0cHM6Ly9jYXMuYXRpaC5zYW50ZS5mci9jYXMvbG9naW4_c2VydmljZT1odHRwcyUzQSUyRiUyRmFwcGxpY2F0aW9ucy5hdGloLnNhbnRlLmZyJTJGb3NpcyUyRqU2Njg0MsQQRBA6E2HQi19J0Jn4a9C6HdCr0KDQwK9leWUubmV3cy5maHAuZnLEFPAn0LfxJhLvcdDAOW8O_NDNRV4r0KM50Ms" TargetMode="External"/><Relationship Id="rId13" Type="http://schemas.openxmlformats.org/officeDocument/2006/relationships/hyperlink" Target="mailto:dgos-hopen@sante.gouv.fr" TargetMode="External"/><Relationship Id="rId18" Type="http://schemas.openxmlformats.org/officeDocument/2006/relationships/hyperlink" Target="http://eye.news.fhp.fr/c?p=xBA00NkaLNCfb05G0IYALxRM0K160KbEEOTQw9DX0NXQ1DfQl0jQvNDL0LE5QHvu5dlbaHR0cDovL2tvYW1hLmZocC5mci9maWNoaWVycy8yMDE5MDIxOTEwNDI0N19HVUlERV9ERVNfSU5ESUNBVEVVUlNfREVTX1BSRVJFUVVJU19fZmV2LjE5LnBkZqU2Njg0MsQQRBA6E2HQi19J0Jn4a9C6HdCr0KDQwK9leWUubmV3cy5maHAuZnLEFPAn0LfxJhLvcdDAOW8O_NDNRV4r0KM50M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ye.news.fhp.fr/c?p=xBA00NkaLNCfb05G0IYALxRM0K160KbEED527HzQgTtjQ9CUJu7w0LAUEjXZTGh0dHA6Ly9rb2FtYS5maHAuZnIvZmljaGllcnMvMjAxOTAyMTkxMDQ2MzRfUmV0b3VyX0ZIUF9zdXJfZ3VpZGVzX0hPUEVOLmRvY3ilNjY4NDLEEEQQOhNh0ItfSdCZ-GvQuh3Qq9Cg0MCvZXllLm5ld3MuZmhwLmZyxBTwJ9C38SYS73HQwDlvDvzQzUVeK9CjOdDL" TargetMode="External"/><Relationship Id="rId7" Type="http://schemas.openxmlformats.org/officeDocument/2006/relationships/hyperlink" Target="http://eye.news.fhp.fr/c?p=xBA00NkaLNCfb05G0IYALxRM0K160KbEED3lXHFn0L0qTdC7V9DVXtDS0MXQj9Ch2UtodHRwOi8va29hbWEuZmhwLmZyL2ZpY2hpZXJzLzIwMTkwMjE5MTA0MDQ1X0lOU1RSVUNUSU9OX0hPUEVOX18xMi4wMi4xOS5wZGalNjY4NDLEEEQQOhNh0ItfSdCZ-GvQuh3Qq9Cg0MCvZXllLm5ld3MuZmhwLmZyxBTwJ9C38SYS73HQwDlvDvzQzUVeK9CjOdDL" TargetMode="External"/><Relationship Id="rId12" Type="http://schemas.openxmlformats.org/officeDocument/2006/relationships/hyperlink" Target="http://eye.news.fhp.fr/c?p=xBA00NkaLNCfb05G0IYALxRM0K160KbEENC95NClbNCA0M7Q3UvQpiAiPDMG9AbZYmh0dHA6Ly9rb2FtYS5maHAuZnIvZmljaGllcnMvMjAxOTAyMTkxMDQ1MDhfRmljaGllcl9kZV9zYWlzaWVfZGVzX2NvbW1lbnRhaXJlc19zdXJfbGVzX2d1aWRlcy54bHN4pTY2ODQyxBBEEDoTYdCLX0nQmfhr0Lod0KvQoNDAr2V5ZS5uZXdzLmZocC5mcsQU8CfQt_EmEu9x0MA5bw780M1FXivQoznQyw" TargetMode="External"/><Relationship Id="rId17" Type="http://schemas.openxmlformats.org/officeDocument/2006/relationships/hyperlink" Target="http://eye.news.fhp.fr/c?p=xBA00NkaLNCfb05G0IYALxRM0K160KbEEHLQkzhdMiXwSdCq0IrQvu3QtNDEEVPZS2h0dHA6Ly9rb2FtYS5maHAuZnIvZmljaGllcnMvMjAxOTAyMTkxMDQwNDVfSU5TVFJVQ1RJT05fSE9QRU5fXzEyLjAyLjE5LnBkZqU2Njg0MsQQRBA6E2HQi19J0Jn4a9C6HdCr0KDQwK9leWUubmV3cy5maHAuZnLEFPAn0LfxJhLvcdDAOW8O_NDNRV4r0KM50Ms" TargetMode="External"/><Relationship Id="rId25" Type="http://schemas.openxmlformats.org/officeDocument/2006/relationships/hyperlink" Target="http://eye.news.fhp.fr/r/USBSHOW/29/66842/NNkaLJ9vTkaGAC8UTK16pg/RBA6E2GLX0mZ-Gu6HaugwA?email=fhpssr@fhp-ssr.fr&amp;adm=com.fhp@fhp.fr"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eye.news.fhp.fr/c?p=xBA00NkaLNCfb05G0IYALxRM0K160KbEEDLQzNDI0JJ00LvQskzQjUkYLGD8L-LZYmh0dHA6Ly9rb2FtYS5maHAuZnIvZmljaGllcnMvMjAxOTAyMTkxMDQ1MDhfRmljaGllcl9kZV9zYWlzaWVfZGVzX2NvbW1lbnRhaXJlc19zdXJfbGVzX2d1aWRlcy54bHN4pTY2ODQyxBBEEDoTYdCLX0nQmfhr0Lod0KvQoNDAr2V5ZS5uZXdzLmZocC5mcsQU8CfQt_EmEu9x0MA5bw780M1FXivQoznQyw"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ye.news.fhp.fr/c?p=xBA00NkaLNCfb05G0IYALxRM0K160KbEEENFTij30N9ZRtCt_msvUdDS0IPQitlaaHR0cDovL2tvYW1hLmZocC5mci9maWNoaWVycy8yMDE5MDIxOTEwNDMzOV9HVUlERV9ERVNfSU5ESUNBVEVVUlNfREVTX0RPTUFJTkVTX19mZXYuMTkucGRmpTY2ODQyxBBEEDoTYdCLX0nQmfhr0Lod0KvQoNDAr2V5ZS5uZXdzLmZocC5mcsQU8CfQt_EmEu9x0MA5bw780M1FXivQoznQyw" TargetMode="External"/><Relationship Id="rId24" Type="http://schemas.openxmlformats.org/officeDocument/2006/relationships/image" Target="media/image3.jpeg"/><Relationship Id="rId5" Type="http://schemas.openxmlformats.org/officeDocument/2006/relationships/hyperlink" Target="http://eye.news.fhp.fr/m2?r=pTY2ODQyxBA00NkaLNCfb05G0IYALxRM0K160KbEEEQQOhNh0ItfSdCZ-GvQuh3Qq9Cg0MCxZmhwc3NyQGZocC1zc3IuZnKglbY0ek9JbXV5SlNVQ0thelpFSk85eVVBp0ZIUC1TU1K2aHlvNmF6S3FnVWVRbjAyZjZ6dGM5UaZNQUdFUkW2cDFuSXhVN21IRUNPODVsUk9qQy0tQaNNbWW2dGtUY2NPUC1PMHV0RHNUMEM1Wmhkd6hWYWzDqXJpZbZ3b2NDTnJ0NjhVdXJBRkVPU0RvbkJRpTMxNjQ4" TargetMode="External"/><Relationship Id="rId15" Type="http://schemas.openxmlformats.org/officeDocument/2006/relationships/hyperlink" Target="http://eye.news.fhp.fr/c?p=xBA00NkaLNCfb05G0IYALxRM0K160KbEENCRIuzQgNDJUedM0Lc489DA0LvQljTQlNlMaHR0cDovL2tvYW1hLmZocC5mci9maWNoaWVycy8yMDE5MDIxOTEwNDYzNF9SZXRvdXJfRkhQX3N1cl9ndWlkZXNfSE9QRU4uZG9jeKU2Njg0MsQQRBA6E2HQi19J0Jn4a9C6HdCr0KDQwK9leWUubmV3cy5maHAuZnLEFPAn0LfxJhLvcdDAOW8O_NDNRV4r0KM50Ms" TargetMode="External"/><Relationship Id="rId23" Type="http://schemas.openxmlformats.org/officeDocument/2006/relationships/hyperlink" Target="http://eye.news.fhp.fr/c?p=xBA00NkaLNCfb05G0IYALxRM0K160KbEEBjq0IcdeNCEDUXQtnRt0MVGF_bQqbJodHRwOi8vd3d3LmZocC5mci-lNjY4NDLEEEQQOhNh0ItfSdCZ-GvQuh3Qq9Cg0MCvZXllLm5ld3MuZmhwLmZyxBTwJ9C38SYS73HQwDlvDvzQzUVeK9CjOdDL" TargetMode="External"/><Relationship Id="rId10" Type="http://schemas.openxmlformats.org/officeDocument/2006/relationships/hyperlink" Target="http://eye.news.fhp.fr/c?p=xBA00NkaLNCfb05G0IYALxRM0K160KbEENCJASjQzucd0I5G0JDQwdCh0IrQxNCbAU7ZW2h0dHA6Ly9rb2FtYS5maHAuZnIvZmljaGllcnMvMjAxOTAyMTkxMDQyNDdfR1VJREVfREVTX0lORElDQVRFVVJTX0RFU19QUkVSRVFVSVNfX2Zldi4xOS5wZGalNjY4NDLEEEQQOhNh0ItfSdCZ-GvQuh3Qq9Cg0MCvZXllLm5ld3MuZmhwLmZyxBTwJ9C38SYS73HQwDlvDvzQzUVeK9CjOdDL" TargetMode="External"/><Relationship Id="rId19" Type="http://schemas.openxmlformats.org/officeDocument/2006/relationships/hyperlink" Target="http://eye.news.fhp.fr/c?p=xBA00NkaLNCfb05G0IYALxRM0K160KbEENDLVhHQjhgr0MFE0Jf67-jQjj7QpvrZWmh0dHA6Ly9rb2FtYS5maHAuZnIvZmljaGllcnMvMjAxOTAyMTkxMDQzMzlfR1VJREVfREVTX0lORElDQVRFVVJTX0RFU19ET01BSU5FU19fZmV2LjE5LnBkZqU2Njg0MsQQRBA6E2HQi19J0Jn4a9C6HdCr0KDQwK9leWUubmV3cy5maHAuZnLEFPAn0LfxJhLvcdDAOW8O_NDNRV4r0KM50Ms" TargetMode="External"/><Relationship Id="rId4" Type="http://schemas.openxmlformats.org/officeDocument/2006/relationships/webSettings" Target="webSettings.xml"/><Relationship Id="rId9" Type="http://schemas.openxmlformats.org/officeDocument/2006/relationships/hyperlink" Target="http://eye.news.fhp.fr/c?p=xBA00NkaLNCfb05G0IYALxRM0K160KbEEA0VQVj8bupK0JFMO9DIWB3QgQDZXmh0dHBzOi8vY2FzLmF0aWguc2FudGUuZnIvY2FzL2xvZ2luP3NlcnZpY2U9aHR0cHMlM0ElMkYlMkZhcHBsaWNhdGlvbnMuYXRpaC5zYW50ZS5mciUyRm9zaXMlMkalNjY4NDLEEEQQOhNh0ItfSdCZ-GvQuh3Qq9Cg0MCvZXllLm5ld3MuZmhwLmZyxBTwJ9C38SYS73HQwDlvDvzQzUVeK9CjOdDL" TargetMode="External"/><Relationship Id="rId14" Type="http://schemas.openxmlformats.org/officeDocument/2006/relationships/hyperlink" Target="mailto:guilherme.pontes@fhp.fr" TargetMode="External"/><Relationship Id="rId22" Type="http://schemas.openxmlformats.org/officeDocument/2006/relationships/hyperlink" Target="mailto:guilherme.pontes@fhp.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2070</Words>
  <Characters>11386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2019-02-27T15:51:00Z</dcterms:created>
  <dcterms:modified xsi:type="dcterms:W3CDTF">2019-02-27T15:54:00Z</dcterms:modified>
</cp:coreProperties>
</file>