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56" w:rsidRDefault="00760F56" w:rsidP="00760F56">
      <w:pPr>
        <w:spacing w:before="120"/>
      </w:pPr>
    </w:p>
    <w:p w:rsidR="0063397D" w:rsidRDefault="00A32FBC" w:rsidP="00760F56">
      <w:pPr>
        <w:spacing w:before="120"/>
      </w:pPr>
      <w:r>
        <w:rPr>
          <w:noProof/>
          <w:lang w:eastAsia="fr-FR"/>
        </w:rPr>
        <w:drawing>
          <wp:inline distT="0" distB="0" distL="0" distR="0" wp14:anchorId="03A0B1A7" wp14:editId="46CC08B8">
            <wp:extent cx="1082040" cy="891540"/>
            <wp:effectExtent l="0" t="0" r="3810" b="381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D" w:rsidRDefault="0063397D" w:rsidP="00760F56">
      <w:pPr>
        <w:spacing w:before="120"/>
      </w:pPr>
    </w:p>
    <w:p w:rsidR="0063397D" w:rsidRPr="0063397D" w:rsidRDefault="00122FD3" w:rsidP="0063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  <w:r w:rsidRPr="0063397D">
        <w:rPr>
          <w:b/>
        </w:rPr>
        <w:t xml:space="preserve">Note d’accompagnement </w:t>
      </w:r>
      <w:r w:rsidR="0063397D" w:rsidRPr="0063397D">
        <w:rPr>
          <w:b/>
        </w:rPr>
        <w:t>sur la démarche juridique à engager</w:t>
      </w:r>
    </w:p>
    <w:p w:rsidR="00122FD3" w:rsidRPr="0063397D" w:rsidRDefault="00B47A0B" w:rsidP="0063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  <w:r>
        <w:rPr>
          <w:b/>
        </w:rPr>
        <w:t>E</w:t>
      </w:r>
      <w:r w:rsidR="0063397D" w:rsidRPr="0063397D">
        <w:rPr>
          <w:b/>
        </w:rPr>
        <w:t>n cas de contestation contre l’arrêté tarifaire DMA</w:t>
      </w:r>
    </w:p>
    <w:p w:rsidR="00122FD3" w:rsidRDefault="00122FD3" w:rsidP="00760F56">
      <w:pPr>
        <w:spacing w:before="120"/>
      </w:pPr>
    </w:p>
    <w:p w:rsidR="00122FD3" w:rsidRDefault="00122FD3" w:rsidP="00760F56">
      <w:pPr>
        <w:spacing w:before="120"/>
      </w:pPr>
    </w:p>
    <w:p w:rsidR="00760F56" w:rsidRPr="00B47A0B" w:rsidRDefault="00A32FBC" w:rsidP="00A32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i/>
        </w:rPr>
      </w:pPr>
      <w:r>
        <w:rPr>
          <w:b/>
        </w:rPr>
        <w:t>En fonction des régions, vous</w:t>
      </w:r>
      <w:r w:rsidR="00760F56">
        <w:rPr>
          <w:b/>
        </w:rPr>
        <w:t xml:space="preserve"> recevrez un seul et unique </w:t>
      </w:r>
      <w:r>
        <w:rPr>
          <w:b/>
        </w:rPr>
        <w:t xml:space="preserve">arrêté </w:t>
      </w:r>
      <w:r w:rsidR="00760F56">
        <w:rPr>
          <w:b/>
          <w:u w:val="single"/>
        </w:rPr>
        <w:t>ou</w:t>
      </w:r>
      <w:r w:rsidR="00760F56">
        <w:rPr>
          <w:b/>
        </w:rPr>
        <w:t xml:space="preserve"> deux distincts : le premier relatif à la dotation DMA, le second relatif à l’application des différents forfaits ayant permis le calcul de cette DMA : </w:t>
      </w:r>
      <w:r w:rsidR="00760F56" w:rsidRPr="00B47A0B">
        <w:rPr>
          <w:i/>
        </w:rPr>
        <w:t xml:space="preserve">coefficient de transition, coefficient de spécialisation (score RR) et coefficient « honoraires ». </w:t>
      </w:r>
    </w:p>
    <w:p w:rsidR="00760F56" w:rsidRDefault="00760F56" w:rsidP="00A32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color w:val="1F497D"/>
        </w:rPr>
      </w:pPr>
    </w:p>
    <w:p w:rsidR="00760F56" w:rsidRDefault="00760F56" w:rsidP="006253E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>
        <w:t xml:space="preserve">Il s’agit bien d’une </w:t>
      </w:r>
      <w:r>
        <w:rPr>
          <w:u w:val="single"/>
        </w:rPr>
        <w:t>contestation individuelle des établissements</w:t>
      </w:r>
      <w:r w:rsidRPr="00D07F42">
        <w:t xml:space="preserve"> qui doit s’engager</w:t>
      </w:r>
      <w:r>
        <w:t xml:space="preserve"> et a priori devant une juridiction spéciale : le TITSS.</w:t>
      </w:r>
    </w:p>
    <w:p w:rsidR="00760F56" w:rsidRDefault="00760F56" w:rsidP="006253E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</w:p>
    <w:p w:rsidR="00760F56" w:rsidRDefault="00760F56" w:rsidP="006253E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>
        <w:t xml:space="preserve">La procédure devant ce TITSS répond à des exigences propres, régies par le Code de l’action sociale et des familles, et notamment l’article L351-1 qui  détaille le champ de compétence de ces Tribunaux. </w:t>
      </w:r>
    </w:p>
    <w:p w:rsidR="00760F56" w:rsidRDefault="00760F56" w:rsidP="006253E6">
      <w:pPr>
        <w:pStyle w:val="Textebrut"/>
        <w:jc w:val="both"/>
      </w:pPr>
    </w:p>
    <w:p w:rsidR="00760F56" w:rsidRDefault="00760F56" w:rsidP="00760F56">
      <w:pPr>
        <w:pStyle w:val="Textebrut"/>
      </w:pPr>
      <w:r>
        <w:t xml:space="preserve">Plusieurs éléments sont particulièrement à retenir : </w:t>
      </w:r>
    </w:p>
    <w:p w:rsidR="00760F56" w:rsidRDefault="00760F56" w:rsidP="00760F56">
      <w:pPr>
        <w:pStyle w:val="Textebrut"/>
      </w:pPr>
    </w:p>
    <w:p w:rsidR="00760F56" w:rsidRDefault="00760F56" w:rsidP="00760F56">
      <w:pPr>
        <w:pStyle w:val="Textebrut"/>
        <w:numPr>
          <w:ilvl w:val="0"/>
          <w:numId w:val="1"/>
        </w:numPr>
        <w:spacing w:before="120"/>
        <w:ind w:left="714" w:hanging="357"/>
      </w:pPr>
      <w:r>
        <w:t>Tout d’abord, les</w:t>
      </w:r>
      <w:r>
        <w:rPr>
          <w:color w:val="0070C0"/>
        </w:rPr>
        <w:t xml:space="preserve"> </w:t>
      </w:r>
      <w:r>
        <w:rPr>
          <w:b/>
          <w:color w:val="0070C0"/>
        </w:rPr>
        <w:t>délais pour déposer le recours</w:t>
      </w:r>
      <w:r>
        <w:rPr>
          <w:color w:val="0070C0"/>
        </w:rPr>
        <w:t xml:space="preserve"> sont </w:t>
      </w:r>
      <w:r>
        <w:rPr>
          <w:b/>
          <w:color w:val="0070C0"/>
          <w:u w:val="single"/>
        </w:rPr>
        <w:t>d'un mois</w:t>
      </w:r>
      <w:r>
        <w:rPr>
          <w:color w:val="0070C0"/>
        </w:rPr>
        <w:t xml:space="preserve"> seulement (contre deux habituellement) et ce </w:t>
      </w:r>
      <w:r>
        <w:rPr>
          <w:color w:val="0070C0"/>
          <w:u w:val="single"/>
        </w:rPr>
        <w:t>à c</w:t>
      </w:r>
      <w:r>
        <w:rPr>
          <w:i/>
          <w:color w:val="0070C0"/>
          <w:u w:val="single"/>
        </w:rPr>
        <w:t>ompter de la date de notification</w:t>
      </w:r>
      <w:r>
        <w:rPr>
          <w:color w:val="0070C0"/>
          <w:u w:val="single"/>
        </w:rPr>
        <w:t> de votre arrêté</w:t>
      </w:r>
      <w:r>
        <w:t xml:space="preserve"> (= article R. R351-15 du CASF) ;</w:t>
      </w:r>
    </w:p>
    <w:p w:rsidR="00760F56" w:rsidRDefault="00760F56" w:rsidP="00760F56">
      <w:pPr>
        <w:pStyle w:val="Paragraphedeliste"/>
        <w:numPr>
          <w:ilvl w:val="0"/>
          <w:numId w:val="1"/>
        </w:numPr>
        <w:spacing w:before="120"/>
        <w:ind w:left="714" w:hanging="357"/>
        <w:jc w:val="both"/>
        <w:rPr>
          <w:b/>
          <w:szCs w:val="21"/>
        </w:rPr>
      </w:pPr>
      <w:r>
        <w:t>Ensuite et en vertu d’une jurisprudence constante du Conseil d’Etat, « </w:t>
      </w:r>
      <w:r>
        <w:rPr>
          <w:i/>
          <w:szCs w:val="21"/>
        </w:rPr>
        <w:t xml:space="preserve">les personnes intéressées à saisir [le TITSS] sont celles qui sont appelées </w:t>
      </w:r>
      <w:r>
        <w:rPr>
          <w:i/>
          <w:szCs w:val="21"/>
          <w:u w:val="single"/>
        </w:rPr>
        <w:t>soit à percevoir le montant du tarif, soit à en supporter la charge</w:t>
      </w:r>
      <w:r>
        <w:rPr>
          <w:i/>
          <w:u w:val="single"/>
        </w:rPr>
        <w:t xml:space="preserve"> ». </w:t>
      </w:r>
      <w:r>
        <w:rPr>
          <w:b/>
        </w:rPr>
        <w:t xml:space="preserve">Dès lors, </w:t>
      </w:r>
      <w:r>
        <w:rPr>
          <w:b/>
          <w:color w:val="0070C0"/>
        </w:rPr>
        <w:t xml:space="preserve">l’intérêt à agir devant ce tribunal est </w:t>
      </w:r>
      <w:r>
        <w:rPr>
          <w:b/>
          <w:color w:val="0070C0"/>
          <w:szCs w:val="21"/>
        </w:rPr>
        <w:t>ciblé au seul destinataire de l’arrêté</w:t>
      </w:r>
      <w:r>
        <w:rPr>
          <w:b/>
          <w:szCs w:val="21"/>
        </w:rPr>
        <w:t>, ce qui exclut notamment les établissements concurrents et les fédérations représentatives.</w:t>
      </w:r>
    </w:p>
    <w:p w:rsidR="009824EB" w:rsidRDefault="00760F56" w:rsidP="00122FD3">
      <w:pPr>
        <w:pStyle w:val="Textebrut"/>
        <w:numPr>
          <w:ilvl w:val="0"/>
          <w:numId w:val="1"/>
        </w:numPr>
        <w:spacing w:before="120"/>
        <w:ind w:left="714" w:hanging="357"/>
        <w:jc w:val="both"/>
      </w:pPr>
      <w:r>
        <w:t>Il vous appartient de contester cet arrêté devant le TITSS compétent, c’est-à-dire « </w:t>
      </w:r>
      <w:r>
        <w:rPr>
          <w:i/>
          <w:u w:val="single"/>
        </w:rPr>
        <w:t>celui dans le ressort duquel est situé l'établissement</w:t>
      </w:r>
      <w:r>
        <w:rPr>
          <w:i/>
        </w:rPr>
        <w:t xml:space="preserve"> ou le service dont la tarification ou le classement global des résidents par niveau de dépendance est contesté</w:t>
      </w:r>
      <w:r>
        <w:t xml:space="preserve"> » (Art. R. 351-1 CASF). </w:t>
      </w:r>
    </w:p>
    <w:p w:rsidR="0008109B" w:rsidRDefault="0008109B" w:rsidP="0008109B">
      <w:pPr>
        <w:pStyle w:val="Textebrut"/>
        <w:spacing w:before="120"/>
        <w:ind w:left="720"/>
        <w:jc w:val="both"/>
      </w:pPr>
      <w:r>
        <w:t xml:space="preserve">Attention, il n’existe que </w:t>
      </w:r>
      <w:r>
        <w:rPr>
          <w:b/>
        </w:rPr>
        <w:t>cinq TITSS implantés sur tout le territoire national</w:t>
      </w:r>
      <w:r>
        <w:t> : Paris, Lyon, Bordeaux, Nantes, Nancy. En principe, votre ou vos arrêté(s) précise(nt) les différentes voies et délais de recours (sinon vous devrez vous baser sur l’article R. 351-2 du CASF).</w:t>
      </w:r>
    </w:p>
    <w:p w:rsidR="005B0F93" w:rsidRDefault="005B0F93" w:rsidP="00122FD3">
      <w:pPr>
        <w:pStyle w:val="Textebrut"/>
        <w:numPr>
          <w:ilvl w:val="0"/>
          <w:numId w:val="1"/>
        </w:numPr>
        <w:spacing w:before="120"/>
        <w:ind w:left="714" w:hanging="357"/>
        <w:jc w:val="both"/>
      </w:pPr>
      <w:r>
        <w:t xml:space="preserve">Par ailleurs, la </w:t>
      </w:r>
      <w:r w:rsidR="00C277E6">
        <w:rPr>
          <w:b/>
        </w:rPr>
        <w:t>recevabilité des requêtes</w:t>
      </w:r>
      <w:r w:rsidR="00C277E6">
        <w:t xml:space="preserve"> </w:t>
      </w:r>
      <w:r w:rsidR="0005393D">
        <w:t xml:space="preserve">y </w:t>
      </w:r>
      <w:r w:rsidR="00C277E6">
        <w:t>est plus exigeante et l’accès au Juge de facto plus limité, compte tenu de l’intérêt à agir qui doit être démontré en amont</w:t>
      </w:r>
      <w:r w:rsidR="00E16CAA">
        <w:t>, à défaut de quoi la requête ne sera pas examinée</w:t>
      </w:r>
      <w:r w:rsidR="00C277E6">
        <w:t> </w:t>
      </w:r>
      <w:r w:rsidR="0005393D">
        <w:t>(Art. R. 351-18 CASF).</w:t>
      </w:r>
    </w:p>
    <w:p w:rsidR="00760F56" w:rsidRDefault="00760F56" w:rsidP="00122FD3">
      <w:pPr>
        <w:pStyle w:val="Textebrut"/>
        <w:numPr>
          <w:ilvl w:val="0"/>
          <w:numId w:val="1"/>
        </w:numPr>
        <w:spacing w:before="120"/>
        <w:ind w:left="714" w:hanging="357"/>
        <w:jc w:val="both"/>
      </w:pPr>
      <w:r>
        <w:t xml:space="preserve">Il faut enfin savoir que tous les </w:t>
      </w:r>
      <w:r w:rsidRPr="009824EB">
        <w:rPr>
          <w:b/>
        </w:rPr>
        <w:t>éléments de forme et autres vices de procédure généralement</w:t>
      </w:r>
      <w:r>
        <w:t xml:space="preserve"> soulevés dans les contentieux administratifs, </w:t>
      </w:r>
      <w:r w:rsidRPr="009824EB">
        <w:rPr>
          <w:b/>
        </w:rPr>
        <w:t>sont en principe inopérants devant ce Juge</w:t>
      </w:r>
      <w:r>
        <w:t xml:space="preserve">. </w:t>
      </w:r>
    </w:p>
    <w:p w:rsidR="00760F56" w:rsidRDefault="00760F56" w:rsidP="00760F56">
      <w:pPr>
        <w:pStyle w:val="Textebrut"/>
        <w:rPr>
          <w:sz w:val="16"/>
          <w:szCs w:val="16"/>
        </w:rPr>
      </w:pPr>
    </w:p>
    <w:p w:rsidR="009824EB" w:rsidRDefault="009824EB">
      <w:pPr>
        <w:spacing w:after="160" w:line="259" w:lineRule="auto"/>
        <w:rPr>
          <w:szCs w:val="21"/>
        </w:rPr>
      </w:pPr>
      <w:r>
        <w:br w:type="page"/>
      </w:r>
    </w:p>
    <w:p w:rsidR="00585492" w:rsidRDefault="00585492" w:rsidP="00760F56">
      <w:pPr>
        <w:pStyle w:val="Textebrut"/>
      </w:pPr>
    </w:p>
    <w:p w:rsidR="00585492" w:rsidRDefault="00585492" w:rsidP="009824EB">
      <w:pPr>
        <w:jc w:val="both"/>
      </w:pPr>
      <w:r>
        <w:t xml:space="preserve">Les affaires </w:t>
      </w:r>
      <w:r w:rsidR="009824EB">
        <w:t xml:space="preserve">ainsi </w:t>
      </w:r>
      <w:r>
        <w:t xml:space="preserve">portées devant les TITSS relèvent </w:t>
      </w:r>
      <w:r w:rsidR="0061096C" w:rsidRPr="005B0F93">
        <w:t>en effet</w:t>
      </w:r>
      <w:r w:rsidR="0061096C">
        <w:t xml:space="preserve"> </w:t>
      </w:r>
      <w:r>
        <w:t xml:space="preserve">du contentieux administratif dit « plein contentieux », dès lors, il faut savoir que : </w:t>
      </w:r>
    </w:p>
    <w:p w:rsidR="00585492" w:rsidRDefault="00585492" w:rsidP="00585492">
      <w:pPr>
        <w:pStyle w:val="Paragraphedeliste"/>
        <w:numPr>
          <w:ilvl w:val="0"/>
          <w:numId w:val="1"/>
        </w:numPr>
        <w:spacing w:before="120"/>
        <w:ind w:left="714" w:hanging="357"/>
        <w:jc w:val="both"/>
      </w:pPr>
      <w:r w:rsidRPr="00585492">
        <w:rPr>
          <w:u w:val="single"/>
        </w:rPr>
        <w:t>En cas de rejet de la requête</w:t>
      </w:r>
      <w:r>
        <w:t xml:space="preserve">, l’arrêté attaqué continuera </w:t>
      </w:r>
      <w:r w:rsidR="0061096C" w:rsidRPr="005B0F93">
        <w:t>évidemment</w:t>
      </w:r>
      <w:r w:rsidR="0061096C">
        <w:t xml:space="preserve"> </w:t>
      </w:r>
      <w:r>
        <w:t xml:space="preserve">à s’appliquer et à produire tous ses effets. </w:t>
      </w:r>
    </w:p>
    <w:p w:rsidR="00585492" w:rsidRPr="009824EB" w:rsidRDefault="00585492" w:rsidP="00585492">
      <w:pPr>
        <w:pStyle w:val="Paragraphedeliste"/>
        <w:numPr>
          <w:ilvl w:val="0"/>
          <w:numId w:val="1"/>
        </w:numPr>
        <w:spacing w:before="120"/>
        <w:ind w:left="714" w:hanging="357"/>
        <w:jc w:val="both"/>
        <w:rPr>
          <w:b/>
        </w:rPr>
      </w:pPr>
      <w:r w:rsidRPr="00585492">
        <w:rPr>
          <w:u w:val="single"/>
        </w:rPr>
        <w:t>Au cas où  le Tribunal accède</w:t>
      </w:r>
      <w:r>
        <w:rPr>
          <w:u w:val="single"/>
        </w:rPr>
        <w:t>rait</w:t>
      </w:r>
      <w:r w:rsidRPr="00585492">
        <w:rPr>
          <w:u w:val="single"/>
        </w:rPr>
        <w:t xml:space="preserve"> à la requête déposée contre l’arrêté du Directeur général de l’ARS, ses pouvoirs sont </w:t>
      </w:r>
      <w:r w:rsidR="009824EB">
        <w:rPr>
          <w:u w:val="single"/>
        </w:rPr>
        <w:t xml:space="preserve">alors </w:t>
      </w:r>
      <w:r w:rsidRPr="00585492">
        <w:rPr>
          <w:u w:val="single"/>
        </w:rPr>
        <w:t>étendus</w:t>
      </w:r>
      <w:r>
        <w:t xml:space="preserve">. Il peut notamment annuler l’arrêté ou le réformer, c’est-à-dire à </w:t>
      </w:r>
      <w:r w:rsidRPr="009824EB">
        <w:rPr>
          <w:b/>
        </w:rPr>
        <w:t xml:space="preserve">en modifier le contenu en recalculant </w:t>
      </w:r>
      <w:r w:rsidR="0061096C" w:rsidRPr="009824EB">
        <w:rPr>
          <w:b/>
        </w:rPr>
        <w:t xml:space="preserve">lui-même </w:t>
      </w:r>
      <w:r w:rsidRPr="009824EB">
        <w:rPr>
          <w:b/>
        </w:rPr>
        <w:t>les tarifs litigieux sur la base des éléments du dossier versé aux débats.</w:t>
      </w:r>
    </w:p>
    <w:p w:rsidR="00585492" w:rsidRPr="00E16CAA" w:rsidRDefault="00585492" w:rsidP="00585492">
      <w:pPr>
        <w:jc w:val="both"/>
        <w:rPr>
          <w:sz w:val="2"/>
          <w:szCs w:val="2"/>
        </w:rPr>
      </w:pPr>
    </w:p>
    <w:p w:rsidR="00585492" w:rsidRDefault="00585492" w:rsidP="00760F56">
      <w:pPr>
        <w:pStyle w:val="Textebrut"/>
      </w:pPr>
    </w:p>
    <w:p w:rsidR="00760F56" w:rsidRDefault="00760F56" w:rsidP="009824EB">
      <w:pPr>
        <w:pStyle w:val="Textebrut"/>
        <w:jc w:val="both"/>
      </w:pPr>
      <w:r>
        <w:t>En conclusion, les chances d'obtenir une issue favorable sont ici plus faibles que devant une juridiction administrative « classique » pour ceux d’entre vous qui choisiront de partir au contentieux ...</w:t>
      </w:r>
    </w:p>
    <w:p w:rsidR="00585492" w:rsidRDefault="00585492" w:rsidP="009824EB">
      <w:pPr>
        <w:pStyle w:val="Textebrut"/>
        <w:jc w:val="both"/>
      </w:pPr>
    </w:p>
    <w:p w:rsidR="00585492" w:rsidRDefault="00585492" w:rsidP="00760F56">
      <w:pPr>
        <w:pStyle w:val="Textebrut"/>
      </w:pPr>
    </w:p>
    <w:p w:rsidR="009824EB" w:rsidRDefault="009824EB" w:rsidP="009824EB">
      <w:pPr>
        <w:pStyle w:val="Textebrut"/>
        <w:jc w:val="both"/>
      </w:pPr>
      <w:r>
        <w:t>N</w:t>
      </w:r>
      <w:r w:rsidR="00760F56">
        <w:t xml:space="preserve">ous sommes néanmoins en train d'analyser avec notre Conseil juridique, les possibilités de contester cette compétence au profit de celle plus large du TASS ou du Tribunal Administratif (TA). </w:t>
      </w:r>
    </w:p>
    <w:p w:rsidR="009824EB" w:rsidRDefault="009824EB" w:rsidP="009824EB">
      <w:pPr>
        <w:pStyle w:val="Textebrut"/>
        <w:jc w:val="both"/>
      </w:pPr>
    </w:p>
    <w:p w:rsidR="00760F56" w:rsidRDefault="00760F56" w:rsidP="009824EB">
      <w:pPr>
        <w:pStyle w:val="Textebrut"/>
        <w:jc w:val="both"/>
      </w:pPr>
      <w:r>
        <w:rPr>
          <w:b/>
        </w:rPr>
        <w:t xml:space="preserve">Il conviendra de </w:t>
      </w:r>
      <w:r w:rsidR="009824EB">
        <w:rPr>
          <w:b/>
        </w:rPr>
        <w:t xml:space="preserve">tenter de </w:t>
      </w:r>
      <w:r>
        <w:rPr>
          <w:b/>
        </w:rPr>
        <w:t xml:space="preserve">soulever ce moyen </w:t>
      </w:r>
      <w:r w:rsidR="009824EB">
        <w:rPr>
          <w:b/>
        </w:rPr>
        <w:t xml:space="preserve">d’incompétence du TITSS </w:t>
      </w:r>
      <w:r>
        <w:rPr>
          <w:b/>
        </w:rPr>
        <w:t>avec l’Avocat</w:t>
      </w:r>
      <w:r w:rsidR="009824EB">
        <w:rPr>
          <w:b/>
        </w:rPr>
        <w:t xml:space="preserve"> spécialisé</w:t>
      </w:r>
      <w:r>
        <w:rPr>
          <w:b/>
        </w:rPr>
        <w:t xml:space="preserve"> avec lequel vous engageriez votre éventuel recours.</w:t>
      </w:r>
    </w:p>
    <w:p w:rsidR="00760F56" w:rsidRDefault="00760F56" w:rsidP="00760F56">
      <w:pPr>
        <w:pStyle w:val="Textebrut"/>
      </w:pPr>
    </w:p>
    <w:p w:rsidR="00760F56" w:rsidRDefault="00760F56" w:rsidP="00760F56">
      <w:pPr>
        <w:pStyle w:val="Textebrut"/>
      </w:pPr>
      <w:r>
        <w:t>Même si, in fine tout dépendra de l’interprétation, plus ou moins stricte des Juges du TITSS quant à leur propre compétence sur ces dossiers.</w:t>
      </w:r>
    </w:p>
    <w:p w:rsidR="00760F56" w:rsidRDefault="00760F56" w:rsidP="00760F56">
      <w:pPr>
        <w:pStyle w:val="Textebrut"/>
      </w:pPr>
    </w:p>
    <w:p w:rsidR="00760F56" w:rsidRDefault="00760F56" w:rsidP="002A6C03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>
        <w:rPr>
          <w:b/>
          <w:color w:val="0070C0"/>
        </w:rPr>
        <w:t xml:space="preserve">Afin de vous permettre de gagner du temps dans les délais, la solution que nous préconisons est de commencer par déposer un </w:t>
      </w:r>
      <w:r w:rsidRPr="009824EB">
        <w:rPr>
          <w:b/>
          <w:color w:val="0070C0"/>
          <w:u w:val="single"/>
        </w:rPr>
        <w:t>recours gracieux auprès de votre ARS</w:t>
      </w:r>
      <w:r>
        <w:rPr>
          <w:b/>
          <w:color w:val="0070C0"/>
        </w:rPr>
        <w:t xml:space="preserve"> afin d’obtenir des précisions sur les modalités de calcul appliquées à votre DMA.</w:t>
      </w:r>
    </w:p>
    <w:p w:rsidR="00760F56" w:rsidRDefault="00760F56" w:rsidP="002A6C03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</w:p>
    <w:p w:rsidR="00760F56" w:rsidRDefault="00760F56" w:rsidP="002A6C03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>
        <w:rPr>
          <w:b/>
        </w:rPr>
        <w:t xml:space="preserve">Ainsi, vous </w:t>
      </w:r>
      <w:r>
        <w:rPr>
          <w:b/>
          <w:color w:val="0070C0"/>
          <w:u w:val="single"/>
        </w:rPr>
        <w:t>disposez d’un délai d’un mois pour déposer ce recours</w:t>
      </w:r>
      <w:r w:rsidR="00497A67">
        <w:rPr>
          <w:b/>
          <w:color w:val="0070C0"/>
          <w:u w:val="single"/>
        </w:rPr>
        <w:t xml:space="preserve"> </w:t>
      </w:r>
      <w:r w:rsidR="00497A67" w:rsidRPr="002A6C03">
        <w:rPr>
          <w:b/>
          <w:color w:val="0070C0"/>
          <w:u w:val="single"/>
        </w:rPr>
        <w:t>à compter de la date de notification de l’arrêté</w:t>
      </w:r>
      <w:r>
        <w:rPr>
          <w:b/>
        </w:rPr>
        <w:t xml:space="preserve">, et l’ARS dispose ensuite de deux mois pour vous répondre. </w:t>
      </w:r>
      <w:r w:rsidR="00497A67" w:rsidRPr="002A6C03">
        <w:rPr>
          <w:b/>
        </w:rPr>
        <w:t>Son</w:t>
      </w:r>
      <w:r>
        <w:rPr>
          <w:b/>
        </w:rPr>
        <w:t xml:space="preserve"> silence valant rejet.</w:t>
      </w:r>
    </w:p>
    <w:p w:rsidR="00760F56" w:rsidRDefault="00760F56" w:rsidP="002A6C03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</w:p>
    <w:p w:rsidR="00760F56" w:rsidRDefault="00760F56" w:rsidP="002A6C03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>
        <w:t xml:space="preserve">En effet, </w:t>
      </w:r>
      <w:r>
        <w:rPr>
          <w:b/>
        </w:rPr>
        <w:t>l’article L. 411-2 du Code des relations entre le public et l’administration</w:t>
      </w:r>
      <w:r>
        <w:t xml:space="preserve">, dispose que : </w:t>
      </w:r>
    </w:p>
    <w:p w:rsidR="00760F56" w:rsidRDefault="00760F56" w:rsidP="002A6C03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</w:p>
    <w:p w:rsidR="00760F56" w:rsidRDefault="00760F56" w:rsidP="002A6C03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</w:pPr>
      <w:r>
        <w:t>« </w:t>
      </w:r>
      <w:r>
        <w:rPr>
          <w:i/>
          <w:iCs/>
          <w:color w:val="000000"/>
          <w:shd w:val="clear" w:color="auto" w:fill="F2F2F2"/>
        </w:rPr>
        <w:t xml:space="preserve">Toute décision administrative peut faire l'objet, </w:t>
      </w:r>
      <w:r>
        <w:rPr>
          <w:i/>
          <w:iCs/>
          <w:color w:val="000000"/>
          <w:u w:val="single"/>
          <w:shd w:val="clear" w:color="auto" w:fill="F2F2F2"/>
        </w:rPr>
        <w:t>dans le délai imparti pour l'introduction d'un recours contentieux</w:t>
      </w:r>
      <w:r>
        <w:rPr>
          <w:i/>
          <w:iCs/>
          <w:color w:val="000000"/>
          <w:shd w:val="clear" w:color="auto" w:fill="F2F2F2"/>
        </w:rPr>
        <w:t xml:space="preserve"> [soit pour rappel un mois devant le TITSS], d'un recours gracieux ou hiérarchique </w:t>
      </w:r>
      <w:r>
        <w:rPr>
          <w:i/>
          <w:iCs/>
          <w:color w:val="000000"/>
          <w:u w:val="single"/>
          <w:shd w:val="clear" w:color="auto" w:fill="F2F2F2"/>
        </w:rPr>
        <w:t>qui interrompt le cours de ce délai</w:t>
      </w:r>
      <w:r>
        <w:rPr>
          <w:i/>
          <w:iCs/>
          <w:color w:val="000000"/>
          <w:shd w:val="clear" w:color="auto" w:fill="F2F2F2"/>
        </w:rPr>
        <w:t> </w:t>
      </w:r>
      <w:r>
        <w:rPr>
          <w:color w:val="000000"/>
          <w:shd w:val="clear" w:color="auto" w:fill="F2F2F2"/>
        </w:rPr>
        <w:t>».</w:t>
      </w:r>
    </w:p>
    <w:p w:rsidR="00760F56" w:rsidRDefault="00760F56" w:rsidP="009824E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</w:p>
    <w:p w:rsidR="00760F56" w:rsidRDefault="00760F56" w:rsidP="009824E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>
        <w:rPr>
          <w:b/>
        </w:rPr>
        <w:t xml:space="preserve">Dès lors, </w:t>
      </w:r>
      <w:r>
        <w:rPr>
          <w:b/>
          <w:u w:val="single"/>
        </w:rPr>
        <w:t xml:space="preserve">à l’issue des deux mois en cas de silence ou </w:t>
      </w:r>
      <w:r w:rsidR="00497A67" w:rsidRPr="002A6C03">
        <w:rPr>
          <w:b/>
          <w:u w:val="single"/>
        </w:rPr>
        <w:t>à compter de la date de notification d’un</w:t>
      </w:r>
      <w:r w:rsidR="00497A67">
        <w:rPr>
          <w:b/>
          <w:u w:val="single"/>
        </w:rPr>
        <w:t xml:space="preserve"> </w:t>
      </w:r>
      <w:r>
        <w:rPr>
          <w:b/>
          <w:u w:val="single"/>
        </w:rPr>
        <w:t>rejet exprès, vous pourrez ensuite partir au contentieux devant le TITSS, dans un nouveau délai d’un mois</w:t>
      </w:r>
      <w:r>
        <w:rPr>
          <w:b/>
        </w:rPr>
        <w:t>.</w:t>
      </w:r>
    </w:p>
    <w:p w:rsidR="00760F56" w:rsidRDefault="00760F56" w:rsidP="00760F5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</w:p>
    <w:p w:rsidR="00760F56" w:rsidRDefault="00760F56" w:rsidP="00760F56">
      <w:pPr>
        <w:pStyle w:val="Textebrut"/>
      </w:pPr>
    </w:p>
    <w:p w:rsidR="00280A8C" w:rsidRDefault="00280A8C"/>
    <w:sectPr w:rsidR="00280A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E5" w:rsidRDefault="000B67E5" w:rsidP="00122FD3">
      <w:r>
        <w:separator/>
      </w:r>
    </w:p>
  </w:endnote>
  <w:endnote w:type="continuationSeparator" w:id="0">
    <w:p w:rsidR="000B67E5" w:rsidRDefault="000B67E5" w:rsidP="0012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998326"/>
      <w:docPartObj>
        <w:docPartGallery w:val="Page Numbers (Bottom of Page)"/>
        <w:docPartUnique/>
      </w:docPartObj>
    </w:sdtPr>
    <w:sdtEndPr/>
    <w:sdtContent>
      <w:p w:rsidR="00122FD3" w:rsidRDefault="00122F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5B">
          <w:rPr>
            <w:noProof/>
          </w:rPr>
          <w:t>2</w:t>
        </w:r>
        <w:r>
          <w:fldChar w:fldCharType="end"/>
        </w:r>
      </w:p>
    </w:sdtContent>
  </w:sdt>
  <w:p w:rsidR="00122FD3" w:rsidRDefault="00122F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E5" w:rsidRDefault="000B67E5" w:rsidP="00122FD3">
      <w:r>
        <w:separator/>
      </w:r>
    </w:p>
  </w:footnote>
  <w:footnote w:type="continuationSeparator" w:id="0">
    <w:p w:rsidR="000B67E5" w:rsidRDefault="000B67E5" w:rsidP="0012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1030"/>
    <w:multiLevelType w:val="hybridMultilevel"/>
    <w:tmpl w:val="74320ADE"/>
    <w:lvl w:ilvl="0" w:tplc="C12EB448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56"/>
    <w:rsid w:val="0005393D"/>
    <w:rsid w:val="0008109B"/>
    <w:rsid w:val="00081558"/>
    <w:rsid w:val="000B67E5"/>
    <w:rsid w:val="00122FD3"/>
    <w:rsid w:val="00183B10"/>
    <w:rsid w:val="00280A8C"/>
    <w:rsid w:val="002A6C03"/>
    <w:rsid w:val="00497A67"/>
    <w:rsid w:val="00585492"/>
    <w:rsid w:val="005B0F93"/>
    <w:rsid w:val="0061096C"/>
    <w:rsid w:val="006253E6"/>
    <w:rsid w:val="0063397D"/>
    <w:rsid w:val="006C4C5B"/>
    <w:rsid w:val="00714A61"/>
    <w:rsid w:val="00760F56"/>
    <w:rsid w:val="009824EB"/>
    <w:rsid w:val="00A32FBC"/>
    <w:rsid w:val="00B47A0B"/>
    <w:rsid w:val="00BA1651"/>
    <w:rsid w:val="00C277E6"/>
    <w:rsid w:val="00D07F42"/>
    <w:rsid w:val="00E16CAA"/>
    <w:rsid w:val="00F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4A87"/>
  <w15:chartTrackingRefBased/>
  <w15:docId w15:val="{56F36AA0-DD87-450B-8DA0-C783308A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5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760F5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60F56"/>
    <w:rPr>
      <w:rFonts w:ascii="Calibri" w:eastAsia="Times New Roman" w:hAnsi="Calibri" w:cs="Times New Roman"/>
      <w:szCs w:val="21"/>
    </w:rPr>
  </w:style>
  <w:style w:type="paragraph" w:styleId="Paragraphedeliste">
    <w:name w:val="List Paragraph"/>
    <w:basedOn w:val="Normal"/>
    <w:uiPriority w:val="34"/>
    <w:qFormat/>
    <w:rsid w:val="00760F56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122F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FD3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22F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FD3"/>
    <w:rPr>
      <w:rFonts w:ascii="Calibri" w:eastAsia="Times New Roman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109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09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096C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09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096C"/>
    <w:rPr>
      <w:rFonts w:ascii="Calibri" w:eastAsia="Times New Roman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9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9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0477-79F0-4B51-BA81-8E044B01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FHP-SSR</dc:creator>
  <cp:keywords/>
  <dc:description/>
  <cp:lastModifiedBy>FHP-SSR</cp:lastModifiedBy>
  <cp:revision>6</cp:revision>
  <dcterms:created xsi:type="dcterms:W3CDTF">2017-06-22T07:29:00Z</dcterms:created>
  <dcterms:modified xsi:type="dcterms:W3CDTF">2017-06-22T07:46:00Z</dcterms:modified>
</cp:coreProperties>
</file>